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07" w:rsidRDefault="00427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обучения инвестиционных советников НАУФОР (структура базы контрольных вопросов)</w:t>
      </w:r>
    </w:p>
    <w:p w:rsidR="00D51007" w:rsidRDefault="00D51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007" w:rsidRDefault="00427CAD">
      <w:pPr>
        <w:pStyle w:val="a9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Базовых и внутренних стандартов СРО при осуществлении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1007" w:rsidRDefault="00427CAD">
      <w:pPr>
        <w:pStyle w:val="a9"/>
        <w:numPr>
          <w:ilvl w:val="1"/>
          <w:numId w:val="2"/>
        </w:numPr>
        <w:tabs>
          <w:tab w:val="left" w:pos="426"/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саморегулирование на финансовом рынке (роль СРО на финансовом рынке,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</w:rPr>
        <w:t>разработка и применение базовых и внутренних стандартов, надзорные функции СРО, меры дисциплинарного воздействия);</w:t>
      </w:r>
    </w:p>
    <w:p w:rsidR="00D51007" w:rsidRDefault="00427CAD">
      <w:pPr>
        <w:pStyle w:val="a9"/>
        <w:numPr>
          <w:ilvl w:val="1"/>
          <w:numId w:val="2"/>
        </w:numPr>
        <w:tabs>
          <w:tab w:val="left" w:pos="426"/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 xml:space="preserve">требования  Базовых стандартов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совершению инвестиционным советником операций на финансовом рынке (</w:t>
      </w:r>
      <w:r>
        <w:rPr>
          <w:rFonts w:ascii="Times New Roman" w:hAnsi="Times New Roman" w:cs="Times New Roman"/>
          <w:sz w:val="24"/>
          <w:szCs w:val="24"/>
        </w:rPr>
        <w:t>признаки, состав, порядок предоставления ИИР, определение инвестиционного профиля и его параметров, требования к договору об инвестиционном консультировании</w:t>
      </w:r>
      <w: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Примеры из надзорной практики); </w:t>
      </w:r>
    </w:p>
    <w:p w:rsidR="00D51007" w:rsidRDefault="00427CAD">
      <w:pPr>
        <w:pStyle w:val="a9"/>
        <w:numPr>
          <w:ilvl w:val="1"/>
          <w:numId w:val="2"/>
        </w:numPr>
        <w:tabs>
          <w:tab w:val="left" w:pos="426"/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финансовых продуктов инвестиционными советниками (требования стандартов предложения финансовых инструментов,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различия между инвестиционным консультированием и предложением финансовых продуктов); </w:t>
      </w:r>
    </w:p>
    <w:p w:rsidR="00D51007" w:rsidRDefault="00427CAD">
      <w:pPr>
        <w:pStyle w:val="a9"/>
        <w:numPr>
          <w:ilvl w:val="1"/>
          <w:numId w:val="2"/>
        </w:numPr>
        <w:tabs>
          <w:tab w:val="left" w:pos="284"/>
          <w:tab w:val="left" w:pos="426"/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услуг инвестиционного консультирования посредством программ (различия между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автоконсультирования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требования к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автоконсультирования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требования внутреннего стандарта НАУФОР к предоставлению услуг автоследования – основные понятия, предоставление информации и принципы осуществления деятельности). </w:t>
      </w:r>
    </w:p>
    <w:p w:rsidR="00D51007" w:rsidRDefault="00427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Принципы составления финансовой отчетности и ее анализа.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стандарты финансовой отчетности публичных компаний (РСБУ; </w:t>
      </w:r>
      <w:r>
        <w:rPr>
          <w:rFonts w:ascii="Times New Roman" w:hAnsi="Times New Roman" w:cs="Times New Roman"/>
          <w:sz w:val="24"/>
          <w:szCs w:val="24"/>
          <w:lang w:val="en-US"/>
        </w:rPr>
        <w:t>IFRS</w:t>
      </w:r>
      <w:r>
        <w:rPr>
          <w:rFonts w:ascii="Times New Roman" w:hAnsi="Times New Roman" w:cs="Times New Roman"/>
          <w:sz w:val="24"/>
          <w:szCs w:val="24"/>
        </w:rPr>
        <w:t>; GAAP – в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случаях (в т.ч. в юрисдикциях) составляется, основные различия).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основные принципы составления финансовой отчетности (достоверность;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непрерывность, принцип двойной записи, периодичность составления и публикации);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основные формы финансовой отчетности (баланс; отчет о прибылях и убытках;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движении денежных средств, отчет об изменениях капитала) - цели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и периодичность;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две стороны баланса - «сторона активов» и «сторона обязательств и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собственного капитала». Основная взаимосвязь (собственный капитал=разница между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активами и обязательствами);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отчет о прибыли и убытках как результат деятельности компании за определенный период времени. Концепция начисления (момент признания дохода или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расхода – момент возникновения обязательства).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отчет о движении денежных средств как источник информации о денежных</w:t>
      </w:r>
    </w:p>
    <w:p w:rsidR="00D51007" w:rsidRDefault="00427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потоках от операционной, финансовой и инвестиционной деятельности компании за период.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отчет об изменениях капитала как источник информации о структуре и причинах изменения собственных источников финансирования деятельности компании.</w:t>
      </w:r>
    </w:p>
    <w:p w:rsidR="00D51007" w:rsidRDefault="00427CA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консолидированная и неконсолидированная отчетность - различия.</w:t>
      </w: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Основы финансовой математики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наращение и дисконтирование. Исчисление сложных процентов.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понятие приведенной стоимости. Дисконтный множитель. Чистая приведенная стоимость.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перпетуитет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аннуитет. Приведенная стоимость аннуитета. Понятие теоретической стоимости ценной бумаги.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полная доходность (внутренняя норма процента). Уравнение эквивалентности.</w:t>
      </w: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Основные понятия структуры и стоимости капитала, корпоративные действия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цели корпоративного развития. Система корпоративного управления.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критерии  и основные методы принятия инвестиционных решений. Метод срока окупаемости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>); метод чистой приведенной ценности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NPV); метод внутренней ставки доходности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IRR).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безрисковая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ставка. Риск-премии.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риск-премий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оценке стоимости капитала. Выбор ставок дисконтирования.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расчет средневзвешенной стоимости капитала (WACC) фирмы. Стоимость собственного капитала. Модель стоимости капитальных активов (CAPM). Стоимость заемного капитала. Методы подбора весов собственного и заемного капитала.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структура капитала. Финансовый рычаг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леверидж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оптимизация структуры капитала. Теорема Модильяни-Миллера. Движение от теории к практике за счет учета аспектов налогообложения, риска банкротства и агентских издержек.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основные корпоративные действия: выпуск акций; выпуск облигаций; выплата дивидендов; выкуп акций. Оценка их целесообразности. Расчет капитализации корпорации.</w:t>
      </w:r>
    </w:p>
    <w:p w:rsidR="00D51007" w:rsidRDefault="00D51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007" w:rsidRDefault="00D51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007" w:rsidRDefault="00D51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5.Методы оценки и фундаментального анализа акций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анализ денежных потоков и его основные элементы: чистые начальные инвестиции; чистые операционные денежные потоки; терминальный (конечный) денежный поток. Дисконтированный денежный поток (DCF).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анализ отчета о прибылях и убытках. Основные финансовые показатели  деятельности корпорации и их расчет (выручка; валовая прибыль; прибыль до амортизации и выплаты процентов и налогов (EBIT); прибыль до выплаты процентов и налогов (EBIT); прибыль до выплаты налогов (EBT); чистая прибыль (EAT); чистая прибыль на акцию (</w:t>
      </w:r>
      <w:r>
        <w:rPr>
          <w:rFonts w:ascii="Times New Roman" w:hAnsi="Times New Roman" w:cs="Times New Roman"/>
          <w:sz w:val="24"/>
          <w:szCs w:val="24"/>
          <w:lang w:val="en-US"/>
        </w:rPr>
        <w:t>EPS</w:t>
      </w:r>
      <w:r>
        <w:rPr>
          <w:rFonts w:ascii="Times New Roman" w:hAnsi="Times New Roman" w:cs="Times New Roman"/>
          <w:sz w:val="24"/>
          <w:szCs w:val="24"/>
        </w:rPr>
        <w:t>); доходность собственного капитала (ROE)). Расчет соотношений капитализации и финансовых показателей корпорации.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модели оценки обыкновенных акций (модель дисконтирования дивидендов и модель дисконтированных денежных потоков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CF)).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факторы, принимаемые во внимании при анализе перспектив корпорации. Анализ отрасли. Построение прогнозного показателя денежных потоков. Акции роста и акции стоимости.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показатели относительной ценности и их использования при выборе акций для инвестирования. Коэффициент цена/прибыль (P/E). Коэффициент цена/балансовая стоимость (P/B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). Коэффициент цена/денежный поток 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CF</w:t>
      </w:r>
      <w:r>
        <w:rPr>
          <w:rFonts w:ascii="Times New Roman" w:hAnsi="Times New Roman" w:cs="Times New Roman"/>
          <w:sz w:val="24"/>
          <w:szCs w:val="24"/>
        </w:rPr>
        <w:t>). Коэффициент цена/продажи 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«новые» мультипликаторы и их использование для оценки инвестиционной привлекательности акции. Коэффициент «стоимость бизнеса/прибыль от реализации» (EV/EBITDA). Мультипликатор «стоимость бизнеса/выручка» (EV/S).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мультипликаторы, характеризующие оценку компаний по натуральным показателям:  «стоимость бизнеса/производство» (EV/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>); «стоимость бизнеса/мощность» (EV/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>
        <w:rPr>
          <w:rFonts w:ascii="Times New Roman" w:hAnsi="Times New Roman" w:cs="Times New Roman"/>
          <w:sz w:val="24"/>
          <w:szCs w:val="24"/>
        </w:rPr>
        <w:t>), соотношения «капитализация/объем запасов» и «капитализация/объ</w:t>
      </w:r>
      <w:r w:rsidRPr="00427CA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добычи»; «капитализация/количество телефонных линий» для связи; «капитализация/объем установленной мощности в мегаваттах» и т. п. Их применимость для оценки различных компаний и отраслей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целевая цена; формирование прогноза будущего движения курса акции и рекомендаций на совершение операций с акциями. Основные оценки и рекомендации.</w:t>
      </w: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Оценка и анализ ценных бумаг с фиксированным доходом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виды дол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говых финансовых инструментов (облигации федерального займа; корпоративные, муниципальные и субфедеральные облигации и др.)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формы доходов по долговым инструментам (купонный процент; дисконт)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основные показатели оценки долговых финансовых инструментов (теоретический курс; доходность к погашению, текущая доходность и др.)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оценка бескупонных облигаций.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оценка облигаций с выплатой купона в момент погашения.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оценка облигаций с фиксированным купоном.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оценка облигаций с переменным купоном.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расчет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Оценка изменения курса облигации при изменении ставок процента. Проблема иммунизации.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кривые доходности. Выбор срока размещения ресурсов исходя из известной кривой доходности. </w:t>
      </w: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Основные характеристики инструментов коллективных инвестиций (включая ETF)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виды институтов коллективных инвестиций (НПФ; ОПИФ; ИПИФ; ЗПИФ; БПИФ;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ПИФ как имущественный комплекс. Функции управляющей компании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спецдепозитария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Классификации ПИФ по стилю инвестирования; охвату классов активов и уровню риска. Требования к структуре портфелей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типов.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характеристики пая ПИФ. Выдача и погашение паев; покупка и продажа паев на бирже. Сравнение эффективности операций выкупа/погашения паев и покупки/продажи паев на бирже.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акции иностранного биржевого инвестиционного фонда (ETF). Характеристики </w:t>
      </w:r>
      <w:r>
        <w:rPr>
          <w:rFonts w:ascii="Times New Roman" w:hAnsi="Times New Roman" w:cs="Times New Roman"/>
          <w:sz w:val="24"/>
          <w:szCs w:val="24"/>
          <w:lang w:val="en-US"/>
        </w:rPr>
        <w:t>ETF</w:t>
      </w:r>
      <w:r>
        <w:rPr>
          <w:rFonts w:ascii="Times New Roman" w:hAnsi="Times New Roman" w:cs="Times New Roman"/>
          <w:sz w:val="24"/>
          <w:szCs w:val="24"/>
        </w:rPr>
        <w:t xml:space="preserve"> (базисный индекс; администратор;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кастодиан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управляющий (инвестиционный менеджер);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леверидж</w:t>
      </w:r>
      <w:proofErr w:type="spellEnd"/>
      <w:r>
        <w:rPr>
          <w:rFonts w:ascii="Times New Roman" w:hAnsi="Times New Roman" w:cs="Times New Roman"/>
          <w:sz w:val="24"/>
          <w:szCs w:val="24"/>
        </w:rPr>
        <w:t>; прямой/обратный фонд).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оценка стоимости чистых активов. Расчет стоимости пая/акции инвестиционных фондов.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оценка чистой доходности инвестирования в инструменты коллективных инвестиций.</w:t>
      </w:r>
    </w:p>
    <w:p w:rsidR="00D51007" w:rsidRDefault="00D5100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 Основные характеристики ПФИ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наиболее распространенные в России виды ПФИ (фьючерсы; опционы), их правовая природа.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Опционы-колл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опционы-пут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использование ПФИ для хеджирования и спекуляции.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 параметры ПФИ: гарантийное обеспечение; вариационная маржа; премия по опционам;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страйк-цена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опциона; сроки обращения и исполнения; шаг цены и др. Расчет вариационной маржи.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теоретическая цена фьючерса для разных секторов рынка (фьючерс на фондовый индекс; фьючерс на акцию; процентный фьючерс; фьючерс на товар).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внутренняя стоимость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опционов-колл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опционов-пут. Точка безубыточности. Опционы «в деньгах» и опционы «вне денег».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основные стратегии использования опционов и их возможные результаты в зависимости от движения рынка.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упрощенные оценки цены опциона (премии) на акцию. Границы цен опционов. Теорема паритета опционов пут и колл.</w:t>
      </w: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9. Виды структурных продуктов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сущность структурного продукта и его основные типы (защита капитала; участие в доходе; повышенная доходность;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леверидж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кредитный риск). Полная, частичная и условная защита капитала.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риски структурного продукта. Особенность кредитных нот.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Основные барьерные условия (барьер выплаты купона/номинала; барьер отзыва (погашения); барьер физической поставки (или выплаты денег); барьер замедления/ускорения стоимости инструмента) и возможности их изменения.</w:t>
      </w:r>
    </w:p>
    <w:p w:rsidR="00D51007" w:rsidRPr="00427CAD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Классификации структурных продуктов (биржевые/внебиржевые; по защите капитала; по формам выплаты дохода; по виду выпущенного инструмента; по кругу приобретателей). Классификация структурных продуктов в соответствии с </w:t>
      </w:r>
      <w:r>
        <w:rPr>
          <w:rFonts w:ascii="Times New Roman" w:hAnsi="Times New Roman" w:cs="Times New Roman"/>
          <w:sz w:val="24"/>
          <w:szCs w:val="24"/>
          <w:lang w:val="en-US"/>
        </w:rPr>
        <w:t>EUSIPA</w:t>
      </w:r>
      <w:r w:rsidRPr="00427CAD">
        <w:rPr>
          <w:rFonts w:ascii="Times New Roman" w:hAnsi="Times New Roman" w:cs="Times New Roman"/>
          <w:sz w:val="24"/>
          <w:szCs w:val="24"/>
        </w:rPr>
        <w:t>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Структурная облигация. Основные законодательные требования к структурным облигациям, их эмитентам и владельцам в России.</w:t>
      </w:r>
    </w:p>
    <w:p w:rsidR="00D51007" w:rsidRDefault="00427CA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 Управление портфелем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Современная теория портфеля – основные сведения (концепция «риск-доходность»; гипотеза эффективного рынка). Показатели дисперсии доходности в качестве оценки рыночного риска.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Пассивное и активное управление портфелем.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Диверсификация. Общий риск портфеля и его разложение на систематический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недиверсифицируемый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и уникальный (диверсифицируемый) риски. Коэффициент «бета».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Допустимое множество и эффективное множество (эффективная граница).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10.5. Формирование портфеля на основе инвестиционных целей и предпочтений конкретного инвестора. Толерантность к риску. Кривые безразличия и функции полезности. Оптимальный портфель.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Линия рынка капитала и линия рынка ценных бумаг (CML и </w:t>
      </w:r>
      <w:r>
        <w:rPr>
          <w:rFonts w:ascii="Times New Roman" w:hAnsi="Times New Roman" w:cs="Times New Roman"/>
          <w:sz w:val="24"/>
          <w:szCs w:val="24"/>
          <w:lang w:val="en-US"/>
        </w:rPr>
        <w:t>SML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Переоцененные и недооцененные акции. Коэффициент «альфа». Показатели оценки национальных рынков акций. Коэффициент Шиллера. Коэффициент Q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соотношение «капитализация/ВВП».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Размещение активов. Подходы «снизу вверх» и «сверху вниз».</w:t>
      </w:r>
    </w:p>
    <w:p w:rsidR="00D51007" w:rsidRDefault="00427C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10.9. Оценка эффективности управления портфелем. Коэффициент Шарпа. Коэффициент информации.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Трейнора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Коэффициент «альфа»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1007" w:rsidRDefault="00D51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007" w:rsidSect="00C238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 Neu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6D90"/>
    <w:multiLevelType w:val="multilevel"/>
    <w:tmpl w:val="17FED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603B8A"/>
    <w:multiLevelType w:val="multilevel"/>
    <w:tmpl w:val="DBF6E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F941F7E"/>
    <w:multiLevelType w:val="multilevel"/>
    <w:tmpl w:val="CFC8B78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1007"/>
    <w:rsid w:val="00427CAD"/>
    <w:rsid w:val="009A580D"/>
    <w:rsid w:val="00C238E0"/>
    <w:rsid w:val="00D5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F0FAB"/>
    <w:rPr>
      <w:rFonts w:ascii="Helvetica Neue" w:eastAsia="Arial Unicode MS" w:hAnsi="Helvetica Neue" w:cs="Arial Unicode MS"/>
      <w:color w:val="000000"/>
      <w:lang w:eastAsia="ru-RU"/>
    </w:rPr>
  </w:style>
  <w:style w:type="paragraph" w:styleId="a4">
    <w:name w:val="Title"/>
    <w:basedOn w:val="a"/>
    <w:next w:val="a5"/>
    <w:qFormat/>
    <w:rsid w:val="00C238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rsid w:val="006F0FAB"/>
    <w:rPr>
      <w:rFonts w:ascii="Helvetica Neue" w:eastAsia="Arial Unicode MS" w:hAnsi="Helvetica Neue" w:cs="Arial Unicode MS"/>
      <w:color w:val="000000"/>
      <w:lang w:eastAsia="ru-RU"/>
    </w:rPr>
  </w:style>
  <w:style w:type="paragraph" w:styleId="a6">
    <w:name w:val="List"/>
    <w:basedOn w:val="a5"/>
    <w:rsid w:val="00C238E0"/>
    <w:rPr>
      <w:rFonts w:cs="Lucida Sans"/>
    </w:rPr>
  </w:style>
  <w:style w:type="paragraph" w:styleId="a7">
    <w:name w:val="caption"/>
    <w:basedOn w:val="a"/>
    <w:qFormat/>
    <w:rsid w:val="00C238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238E0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06574"/>
    <w:pPr>
      <w:ind w:left="720"/>
      <w:contextualSpacing/>
    </w:pPr>
  </w:style>
  <w:style w:type="table" w:styleId="aa">
    <w:name w:val="Table Grid"/>
    <w:basedOn w:val="a1"/>
    <w:uiPriority w:val="59"/>
    <w:rsid w:val="006F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dc:description/>
  <cp:lastModifiedBy>mironova</cp:lastModifiedBy>
  <cp:revision>11</cp:revision>
  <dcterms:created xsi:type="dcterms:W3CDTF">2022-08-15T12:08:00Z</dcterms:created>
  <dcterms:modified xsi:type="dcterms:W3CDTF">2022-12-05T06:03:00Z</dcterms:modified>
  <dc:language>ru-RU</dc:language>
</cp:coreProperties>
</file>