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00D" w:rsidRDefault="0012600D">
      <w:pPr>
        <w:pStyle w:val="BodyText"/>
        <w:ind w:firstLine="56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Предложения по распределению регулятивной нагрузки</w:t>
      </w:r>
    </w:p>
    <w:p w:rsidR="0012600D" w:rsidRDefault="0012600D">
      <w:pPr>
        <w:pStyle w:val="BodyText"/>
        <w:ind w:firstLine="567"/>
        <w:jc w:val="center"/>
        <w:rPr>
          <w:b/>
          <w:bCs/>
          <w:color w:val="00000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47"/>
        <w:gridCol w:w="1942"/>
        <w:gridCol w:w="4652"/>
        <w:gridCol w:w="2554"/>
        <w:gridCol w:w="1806"/>
        <w:gridCol w:w="1968"/>
        <w:gridCol w:w="1593"/>
      </w:tblGrid>
      <w:tr w:rsidR="0012600D">
        <w:tblPrEx>
          <w:tblCellMar>
            <w:top w:w="0" w:type="dxa"/>
            <w:bottom w:w="0" w:type="dxa"/>
          </w:tblCellMar>
        </w:tblPrEx>
        <w:trPr>
          <w:cantSplit/>
          <w:trHeight w:val="473"/>
        </w:trPr>
        <w:tc>
          <w:tcPr>
            <w:tcW w:w="447" w:type="dxa"/>
            <w:vMerge w:val="restart"/>
            <w:shd w:val="clear" w:color="auto" w:fill="FFFFFF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Вид деятельности</w:t>
            </w:r>
          </w:p>
        </w:tc>
        <w:tc>
          <w:tcPr>
            <w:tcW w:w="4652" w:type="dxa"/>
            <w:vMerge w:val="restart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Услуги</w:t>
            </w:r>
          </w:p>
        </w:tc>
        <w:tc>
          <w:tcPr>
            <w:tcW w:w="2554" w:type="dxa"/>
            <w:vMerge w:val="restart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Основные требования к деятельности</w:t>
            </w:r>
          </w:p>
        </w:tc>
        <w:tc>
          <w:tcPr>
            <w:tcW w:w="3774" w:type="dxa"/>
            <w:gridSpan w:val="2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1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Требования к собственным средствам</w:t>
            </w:r>
          </w:p>
        </w:tc>
        <w:tc>
          <w:tcPr>
            <w:tcW w:w="1593" w:type="dxa"/>
            <w:vMerge w:val="restart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1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Отчетность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447" w:type="dxa"/>
            <w:vMerge/>
            <w:shd w:val="clear" w:color="auto" w:fill="FFFFFF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1942" w:type="dxa"/>
            <w:vMerge/>
            <w:shd w:val="clear" w:color="auto" w:fill="FFFFFF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4652" w:type="dxa"/>
            <w:vMerge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2554" w:type="dxa"/>
            <w:vMerge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  <w:tc>
          <w:tcPr>
            <w:tcW w:w="1806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Минимальные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Пруденциальные</w:t>
            </w:r>
          </w:p>
        </w:tc>
        <w:tc>
          <w:tcPr>
            <w:tcW w:w="1593" w:type="dxa"/>
            <w:vMerge/>
            <w:shd w:val="clear" w:color="auto" w:fill="FFFFFF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 w:val="restart"/>
            <w:textDirection w:val="btLr"/>
          </w:tcPr>
          <w:p w:rsidR="0012600D" w:rsidRDefault="0012600D">
            <w:pPr>
              <w:spacing w:after="0" w:line="240" w:lineRule="auto"/>
              <w:ind w:left="113" w:right="113"/>
              <w:jc w:val="center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Низкая</w:t>
            </w:r>
          </w:p>
        </w:tc>
        <w:tc>
          <w:tcPr>
            <w:tcW w:w="1942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Инвестиционное консультирование</w:t>
            </w:r>
          </w:p>
        </w:tc>
        <w:tc>
          <w:tcPr>
            <w:tcW w:w="4652" w:type="dxa"/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Инвестиционное консультирование </w:t>
            </w:r>
          </w:p>
        </w:tc>
        <w:tc>
          <w:tcPr>
            <w:tcW w:w="2554" w:type="dxa"/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Suitability</w:t>
            </w:r>
            <w:r>
              <w:rPr>
                <w:rFonts w:ascii="Verdana" w:hAnsi="Verdana" w:cs="Verdana"/>
                <w:sz w:val="18"/>
                <w:szCs w:val="18"/>
              </w:rPr>
              <w:t>, конфликт интересов, аттестация персонала</w:t>
            </w:r>
          </w:p>
        </w:tc>
        <w:tc>
          <w:tcPr>
            <w:tcW w:w="1806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500 тыс. руб. и страхование ответственности на 40 млн. руб.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Нет</w:t>
            </w:r>
          </w:p>
        </w:tc>
        <w:tc>
          <w:tcPr>
            <w:tcW w:w="1593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2 раза в год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942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Управление ценными бумагами</w:t>
            </w:r>
          </w:p>
        </w:tc>
        <w:tc>
          <w:tcPr>
            <w:tcW w:w="4652" w:type="dxa"/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Инвестиционное консультирование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Дискреционное управление портфелем</w:t>
            </w:r>
          </w:p>
        </w:tc>
        <w:tc>
          <w:tcPr>
            <w:tcW w:w="2554" w:type="dxa"/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Suitability</w:t>
            </w:r>
            <w:r>
              <w:rPr>
                <w:rFonts w:ascii="Verdana" w:hAnsi="Verdana" w:cs="Verdana"/>
                <w:sz w:val="18"/>
                <w:szCs w:val="18"/>
              </w:rPr>
              <w:t>, конфликт интересов, аттестация персонала</w:t>
            </w:r>
          </w:p>
        </w:tc>
        <w:tc>
          <w:tcPr>
            <w:tcW w:w="1806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1 млн. руб и страхование ответственности на 40 млн.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Нет</w:t>
            </w:r>
          </w:p>
        </w:tc>
        <w:tc>
          <w:tcPr>
            <w:tcW w:w="1593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2 раза в год (или больше в зависимости от размера активов в управлении)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942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Брокерская (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I)</w:t>
            </w:r>
          </w:p>
        </w:tc>
        <w:tc>
          <w:tcPr>
            <w:tcW w:w="4652" w:type="dxa"/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Инвестиционное консультирование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Прием, передача поручений другим брокерам</w:t>
            </w:r>
          </w:p>
        </w:tc>
        <w:tc>
          <w:tcPr>
            <w:tcW w:w="2554" w:type="dxa"/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Suitability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,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best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execution</w:t>
            </w:r>
            <w:r>
              <w:rPr>
                <w:rFonts w:ascii="Verdana" w:hAnsi="Verdana" w:cs="Verdana"/>
                <w:sz w:val="18"/>
                <w:szCs w:val="18"/>
              </w:rPr>
              <w:t>, конфликт интересов, аттестация персонала</w:t>
            </w:r>
          </w:p>
        </w:tc>
        <w:tc>
          <w:tcPr>
            <w:tcW w:w="1806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1,5 млн. руб.</w:t>
            </w:r>
          </w:p>
        </w:tc>
        <w:tc>
          <w:tcPr>
            <w:tcW w:w="1968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Нет</w:t>
            </w:r>
          </w:p>
        </w:tc>
        <w:tc>
          <w:tcPr>
            <w:tcW w:w="1593" w:type="dxa"/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4 раза в год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/>
            <w:tcBorders>
              <w:bottom w:val="single" w:sz="12" w:space="0" w:color="000000"/>
            </w:tcBorders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34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Дилерская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(I)</w:t>
            </w:r>
          </w:p>
        </w:tc>
        <w:tc>
          <w:tcPr>
            <w:tcW w:w="4652" w:type="dxa"/>
            <w:tcBorders>
              <w:bottom w:val="single" w:sz="12" w:space="0" w:color="000000"/>
            </w:tcBorders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Операции за свой счет (в том числе на бирже)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Аттестация персонала</w:t>
            </w:r>
          </w:p>
        </w:tc>
        <w:tc>
          <w:tcPr>
            <w:tcW w:w="1806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500 тыс. руб.</w:t>
            </w:r>
          </w:p>
        </w:tc>
        <w:tc>
          <w:tcPr>
            <w:tcW w:w="1968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Нет</w:t>
            </w:r>
          </w:p>
        </w:tc>
        <w:tc>
          <w:tcPr>
            <w:tcW w:w="1593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2 раза в год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  <w:trHeight w:val="1006"/>
        </w:trPr>
        <w:tc>
          <w:tcPr>
            <w:tcW w:w="447" w:type="dxa"/>
            <w:tcBorders>
              <w:top w:val="single" w:sz="12" w:space="0" w:color="000000"/>
              <w:bottom w:val="single" w:sz="12" w:space="0" w:color="000000"/>
            </w:tcBorders>
            <w:textDirection w:val="btLr"/>
          </w:tcPr>
          <w:p w:rsidR="0012600D" w:rsidRDefault="0012600D">
            <w:pPr>
              <w:spacing w:after="0" w:line="240" w:lineRule="auto"/>
              <w:ind w:left="113" w:right="113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Средняя</w:t>
            </w:r>
          </w:p>
        </w:tc>
        <w:tc>
          <w:tcPr>
            <w:tcW w:w="194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34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Брокерская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(II)</w:t>
            </w:r>
          </w:p>
        </w:tc>
        <w:tc>
          <w:tcPr>
            <w:tcW w:w="46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Инвестиционное консультирование 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Прием, передача, исполнение поручений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Маржинальное кредитование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 xml:space="preserve">Old-fashioned </w:t>
            </w:r>
            <w:r>
              <w:rPr>
                <w:rFonts w:ascii="Verdana" w:hAnsi="Verdana" w:cs="Verdana"/>
                <w:sz w:val="18"/>
                <w:szCs w:val="18"/>
              </w:rPr>
              <w:t>андеррайтинг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Suitability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,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best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execution</w:t>
            </w:r>
            <w:r>
              <w:rPr>
                <w:rFonts w:ascii="Verdana" w:hAnsi="Verdana" w:cs="Verdana"/>
                <w:sz w:val="18"/>
                <w:szCs w:val="18"/>
              </w:rPr>
              <w:t>, конфликт интересов, управление рисками, аттестация персонала</w:t>
            </w:r>
          </w:p>
        </w:tc>
        <w:tc>
          <w:tcPr>
            <w:tcW w:w="1806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6 млн. / 100 млн. руб.</w:t>
            </w:r>
            <w:r>
              <w:rPr>
                <w:rStyle w:val="FootnoteReference"/>
                <w:rFonts w:ascii="Verdana" w:hAnsi="Verdana" w:cs="Verdana"/>
                <w:sz w:val="18"/>
                <w:szCs w:val="18"/>
              </w:rPr>
              <w:footnoteReference w:customMarkFollows="1" w:id="2"/>
              <w:t>*</w:t>
            </w:r>
          </w:p>
        </w:tc>
        <w:tc>
          <w:tcPr>
            <w:tcW w:w="196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Да</w:t>
            </w:r>
          </w:p>
        </w:tc>
        <w:tc>
          <w:tcPr>
            <w:tcW w:w="159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Ежемесячно или чаще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 w:val="restart"/>
            <w:tcBorders>
              <w:top w:val="single" w:sz="12" w:space="0" w:color="000000"/>
            </w:tcBorders>
            <w:textDirection w:val="btLr"/>
          </w:tcPr>
          <w:p w:rsidR="0012600D" w:rsidRDefault="0012600D">
            <w:pPr>
              <w:spacing w:after="0" w:line="240" w:lineRule="auto"/>
              <w:ind w:left="113" w:right="113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Высокая</w:t>
            </w:r>
          </w:p>
        </w:tc>
        <w:tc>
          <w:tcPr>
            <w:tcW w:w="1942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34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Брокерская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(III)</w:t>
            </w:r>
          </w:p>
        </w:tc>
        <w:tc>
          <w:tcPr>
            <w:tcW w:w="4652" w:type="dxa"/>
            <w:tcBorders>
              <w:top w:val="single" w:sz="12" w:space="0" w:color="000000"/>
            </w:tcBorders>
            <w:shd w:val="clear" w:color="auto" w:fill="FFFFFF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Инвестиционное консультирование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Прием, передача, исполнение поручений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Маржинальное кредитование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Хранение активов (депозитарная лицензия)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Интернализация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  <w:lang w:val="en-US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 xml:space="preserve">Old-fashioned, firm commitment </w:t>
            </w:r>
            <w:r>
              <w:rPr>
                <w:rFonts w:ascii="Verdana" w:hAnsi="Verdana" w:cs="Verdana"/>
                <w:sz w:val="18"/>
                <w:szCs w:val="18"/>
              </w:rPr>
              <w:t>андеррайтинг</w:t>
            </w:r>
          </w:p>
        </w:tc>
        <w:tc>
          <w:tcPr>
            <w:tcW w:w="2554" w:type="dxa"/>
            <w:tcBorders>
              <w:top w:val="single" w:sz="12" w:space="0" w:color="000000"/>
            </w:tcBorders>
            <w:shd w:val="clear" w:color="auto" w:fill="FFFFFF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  <w:lang w:val="en-US"/>
              </w:rPr>
              <w:t>Suitability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,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best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execution</w:t>
            </w:r>
            <w:r>
              <w:rPr>
                <w:rFonts w:ascii="Verdana" w:hAnsi="Verdana" w:cs="Verdana"/>
                <w:sz w:val="18"/>
                <w:szCs w:val="18"/>
              </w:rPr>
              <w:t>, конфликт интересов (в т.ч. при размещении), управление рисками, аттестация персонала</w:t>
            </w:r>
          </w:p>
        </w:tc>
        <w:tc>
          <w:tcPr>
            <w:tcW w:w="1806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35 млн. / 100 млн. руб.</w:t>
            </w:r>
            <w:r>
              <w:rPr>
                <w:rFonts w:ascii="Verdana" w:hAnsi="Verdana" w:cs="Verdana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968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Да</w:t>
            </w:r>
          </w:p>
        </w:tc>
        <w:tc>
          <w:tcPr>
            <w:tcW w:w="1593" w:type="dxa"/>
            <w:tcBorders>
              <w:top w:val="single" w:sz="12" w:space="0" w:color="000000"/>
            </w:tcBorders>
            <w:shd w:val="clear" w:color="auto" w:fill="FFFFFF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Ежемесячно или чаще</w:t>
            </w:r>
          </w:p>
        </w:tc>
      </w:tr>
      <w:tr w:rsidR="0012600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7" w:type="dxa"/>
            <w:vMerge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</w:p>
        </w:tc>
        <w:tc>
          <w:tcPr>
            <w:tcW w:w="1942" w:type="dxa"/>
            <w:vAlign w:val="center"/>
          </w:tcPr>
          <w:p w:rsidR="0012600D" w:rsidRDefault="0012600D">
            <w:pPr>
              <w:spacing w:after="0" w:line="240" w:lineRule="auto"/>
              <w:ind w:left="34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Дилерская (</w:t>
            </w:r>
            <w:r>
              <w:rPr>
                <w:rFonts w:ascii="Verdana" w:hAnsi="Verdana" w:cs="Verdana"/>
                <w:sz w:val="18"/>
                <w:szCs w:val="18"/>
                <w:lang w:val="en-US"/>
              </w:rPr>
              <w:t>II</w:t>
            </w:r>
            <w:r>
              <w:rPr>
                <w:rFonts w:ascii="Verdana" w:hAnsi="Verdana" w:cs="Verdana"/>
                <w:sz w:val="18"/>
                <w:szCs w:val="18"/>
              </w:rPr>
              <w:t>)</w:t>
            </w:r>
          </w:p>
        </w:tc>
        <w:tc>
          <w:tcPr>
            <w:tcW w:w="4652" w:type="dxa"/>
          </w:tcPr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Операции за свой счет (в том числе на бирже)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Маркетмейкер </w:t>
            </w:r>
          </w:p>
          <w:p w:rsidR="0012600D" w:rsidRDefault="0012600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317" w:hanging="283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Андеррайтинг за свой счет </w:t>
            </w:r>
          </w:p>
        </w:tc>
        <w:tc>
          <w:tcPr>
            <w:tcW w:w="2554" w:type="dxa"/>
          </w:tcPr>
          <w:p w:rsidR="0012600D" w:rsidRDefault="0012600D">
            <w:pPr>
              <w:spacing w:after="0" w:line="240" w:lineRule="auto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Управление рисками, аттестация персонала </w:t>
            </w:r>
          </w:p>
        </w:tc>
        <w:tc>
          <w:tcPr>
            <w:tcW w:w="1806" w:type="dxa"/>
            <w:vAlign w:val="center"/>
          </w:tcPr>
          <w:p w:rsidR="0012600D" w:rsidRDefault="0012600D">
            <w:pPr>
              <w:spacing w:after="0" w:line="240" w:lineRule="auto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35 млн.</w:t>
            </w:r>
          </w:p>
        </w:tc>
        <w:tc>
          <w:tcPr>
            <w:tcW w:w="1968" w:type="dxa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Да</w:t>
            </w:r>
          </w:p>
        </w:tc>
        <w:tc>
          <w:tcPr>
            <w:tcW w:w="1593" w:type="dxa"/>
            <w:vAlign w:val="center"/>
          </w:tcPr>
          <w:p w:rsidR="0012600D" w:rsidRDefault="0012600D">
            <w:pPr>
              <w:spacing w:after="0" w:line="240" w:lineRule="auto"/>
              <w:ind w:left="-59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Ежемесячно или чаще</w:t>
            </w:r>
          </w:p>
        </w:tc>
      </w:tr>
    </w:tbl>
    <w:p w:rsidR="0012600D" w:rsidRDefault="0012600D">
      <w:pPr>
        <w:pStyle w:val="BodyText"/>
        <w:ind w:firstLine="567"/>
        <w:jc w:val="left"/>
        <w:rPr>
          <w:color w:val="000000"/>
        </w:rPr>
      </w:pPr>
    </w:p>
    <w:sectPr w:rsidR="0012600D" w:rsidSect="0012600D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600D" w:rsidRDefault="0012600D">
      <w:pPr>
        <w:spacing w:after="0" w:line="240" w:lineRule="auto"/>
      </w:pPr>
      <w:r>
        <w:separator/>
      </w:r>
    </w:p>
  </w:endnote>
  <w:endnote w:type="continuationSeparator" w:id="1">
    <w:p w:rsidR="0012600D" w:rsidRDefault="0012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600D" w:rsidRDefault="0012600D">
      <w:pPr>
        <w:spacing w:after="0" w:line="240" w:lineRule="auto"/>
      </w:pPr>
      <w:r>
        <w:separator/>
      </w:r>
    </w:p>
  </w:footnote>
  <w:footnote w:type="continuationSeparator" w:id="1">
    <w:p w:rsidR="0012600D" w:rsidRDefault="0012600D">
      <w:pPr>
        <w:spacing w:after="0" w:line="240" w:lineRule="auto"/>
      </w:pPr>
      <w:r>
        <w:continuationSeparator/>
      </w:r>
    </w:p>
  </w:footnote>
  <w:footnote w:id="2">
    <w:p w:rsidR="0012600D" w:rsidRDefault="0012600D">
      <w:pPr>
        <w:pStyle w:val="FootnoteText"/>
      </w:pPr>
      <w:r>
        <w:rPr>
          <w:rStyle w:val="FootnoteReference"/>
        </w:rPr>
        <w:t>*</w:t>
      </w:r>
      <w:r>
        <w:t xml:space="preserve"> Требование для маржинального кредитования квалифицированных инвесторов.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3113"/>
    <w:multiLevelType w:val="multilevel"/>
    <w:tmpl w:val="672EAE4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165798"/>
    <w:multiLevelType w:val="multilevel"/>
    <w:tmpl w:val="C7C0C688"/>
    <w:lvl w:ilvl="0">
      <w:start w:val="1"/>
      <w:numFmt w:val="upperRoman"/>
      <w:lvlText w:val="%1."/>
      <w:lvlJc w:val="righ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8FF6D42"/>
    <w:multiLevelType w:val="multilevel"/>
    <w:tmpl w:val="06182E5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12E4E1B"/>
    <w:multiLevelType w:val="multilevel"/>
    <w:tmpl w:val="4208A6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7F937C9B"/>
    <w:multiLevelType w:val="multilevel"/>
    <w:tmpl w:val="2DC674B2"/>
    <w:lvl w:ilvl="0">
      <w:start w:val="1"/>
      <w:numFmt w:val="decimal"/>
      <w:lvlText w:val="%1."/>
      <w:lvlJc w:val="left"/>
      <w:pPr>
        <w:ind w:left="3807" w:hanging="360"/>
      </w:pPr>
    </w:lvl>
    <w:lvl w:ilvl="1">
      <w:start w:val="1"/>
      <w:numFmt w:val="lowerLetter"/>
      <w:lvlText w:val="%2."/>
      <w:lvlJc w:val="left"/>
      <w:pPr>
        <w:ind w:left="4527" w:hanging="360"/>
      </w:pPr>
    </w:lvl>
    <w:lvl w:ilvl="2">
      <w:start w:val="1"/>
      <w:numFmt w:val="lowerRoman"/>
      <w:lvlText w:val="%3."/>
      <w:lvlJc w:val="right"/>
      <w:pPr>
        <w:ind w:left="5247" w:hanging="180"/>
      </w:pPr>
    </w:lvl>
    <w:lvl w:ilvl="3">
      <w:start w:val="1"/>
      <w:numFmt w:val="decimal"/>
      <w:lvlText w:val="%4."/>
      <w:lvlJc w:val="left"/>
      <w:pPr>
        <w:ind w:left="5967" w:hanging="360"/>
      </w:pPr>
    </w:lvl>
    <w:lvl w:ilvl="4">
      <w:start w:val="1"/>
      <w:numFmt w:val="lowerLetter"/>
      <w:lvlText w:val="%5."/>
      <w:lvlJc w:val="left"/>
      <w:pPr>
        <w:ind w:left="6687" w:hanging="360"/>
      </w:pPr>
    </w:lvl>
    <w:lvl w:ilvl="5">
      <w:start w:val="1"/>
      <w:numFmt w:val="lowerRoman"/>
      <w:lvlText w:val="%6."/>
      <w:lvlJc w:val="right"/>
      <w:pPr>
        <w:ind w:left="7407" w:hanging="180"/>
      </w:pPr>
    </w:lvl>
    <w:lvl w:ilvl="6">
      <w:start w:val="1"/>
      <w:numFmt w:val="decimal"/>
      <w:lvlText w:val="%7."/>
      <w:lvlJc w:val="left"/>
      <w:pPr>
        <w:ind w:left="8127" w:hanging="360"/>
      </w:pPr>
    </w:lvl>
    <w:lvl w:ilvl="7">
      <w:start w:val="1"/>
      <w:numFmt w:val="lowerLetter"/>
      <w:lvlText w:val="%8."/>
      <w:lvlJc w:val="left"/>
      <w:pPr>
        <w:ind w:left="8847" w:hanging="360"/>
      </w:pPr>
    </w:lvl>
    <w:lvl w:ilvl="8">
      <w:start w:val="1"/>
      <w:numFmt w:val="lowerRoman"/>
      <w:lvlText w:val="%9."/>
      <w:lvlJc w:val="right"/>
      <w:pPr>
        <w:ind w:left="956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2600D"/>
    <w:rsid w:val="00126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autoSpaceDE w:val="0"/>
      <w:autoSpaceDN w:val="0"/>
      <w:spacing w:after="200" w:line="276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pPr>
      <w:spacing w:after="0" w:line="240" w:lineRule="auto"/>
      <w:jc w:val="both"/>
    </w:pPr>
    <w:rPr>
      <w:rFonts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Pr>
      <w:rFonts w:ascii="Times New Roman" w:hAnsi="Times New Roman" w:cs="Times New Roman"/>
      <w:sz w:val="20"/>
      <w:szCs w:val="20"/>
      <w:lang/>
    </w:rPr>
  </w:style>
  <w:style w:type="paragraph" w:styleId="NoSpacing">
    <w:name w:val="No Spacing"/>
    <w:uiPriority w:val="99"/>
    <w:qFormat/>
    <w:pPr>
      <w:autoSpaceDE w:val="0"/>
      <w:autoSpaceDN w:val="0"/>
    </w:pPr>
    <w:rPr>
      <w:rFonts w:ascii="Calibri" w:hAnsi="Calibri" w:cs="Calibri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NormalWeb">
    <w:name w:val="Normal (Web)"/>
    <w:basedOn w:val="Normal"/>
    <w:uiPriority w:val="99"/>
    <w:pPr>
      <w:spacing w:after="0" w:line="240" w:lineRule="auto"/>
    </w:pPr>
    <w:rPr>
      <w:rFonts w:cstheme="minorBid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264</Words>
  <Characters>1506</Characters>
  <Application>Microsoft Office Outlook</Application>
  <DocSecurity>0</DocSecurity>
  <Lines>0</Lines>
  <Paragraphs>0</Paragraphs>
  <ScaleCrop>false</ScaleCrop>
  <Company>NAUFOR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 заседанию Совета директоров НАУФОР 22</dc:title>
  <dc:subject/>
  <dc:creator>Alexey Artamonov</dc:creator>
  <cp:keywords/>
  <dc:description/>
  <cp:lastModifiedBy>Egorova_G</cp:lastModifiedBy>
  <cp:revision>2</cp:revision>
  <cp:lastPrinted>2009-09-21T15:14:00Z</cp:lastPrinted>
  <dcterms:created xsi:type="dcterms:W3CDTF">2009-09-22T09:28:00Z</dcterms:created>
  <dcterms:modified xsi:type="dcterms:W3CDTF">2009-09-22T09:28:00Z</dcterms:modified>
</cp:coreProperties>
</file>