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insideH w:val="single" w:sz="12" w:space="0" w:color="000000"/>
        </w:tblBorders>
        <w:tblCellMar>
          <w:top w:w="113" w:type="dxa"/>
          <w:bottom w:w="113" w:type="dxa"/>
        </w:tblCellMar>
        <w:tblLook w:val="04A0"/>
      </w:tblPr>
      <w:tblGrid>
        <w:gridCol w:w="1008"/>
        <w:gridCol w:w="1594"/>
        <w:gridCol w:w="7004"/>
      </w:tblGrid>
      <w:tr w:rsidR="001957FF" w:rsidRPr="00D70281" w:rsidDel="003A76F4" w:rsidTr="00461868">
        <w:tc>
          <w:tcPr>
            <w:tcW w:w="1008" w:type="dxa"/>
            <w:shd w:val="clear" w:color="auto" w:fill="auto"/>
          </w:tcPr>
          <w:p w:rsidR="001957FF" w:rsidRPr="003A76F4" w:rsidRDefault="001957FF" w:rsidP="00461868">
            <w:pPr>
              <w:spacing w:after="100" w:afterAutospacing="1" w:line="240" w:lineRule="auto"/>
              <w:jc w:val="both"/>
              <w:rPr>
                <w:i/>
              </w:rPr>
            </w:pPr>
            <w:r w:rsidRPr="00D70281">
              <w:rPr>
                <w:i/>
              </w:rPr>
              <w:t>П.</w:t>
            </w:r>
            <w:r>
              <w:rPr>
                <w:i/>
              </w:rPr>
              <w:t>5</w:t>
            </w:r>
          </w:p>
        </w:tc>
        <w:tc>
          <w:tcPr>
            <w:tcW w:w="1594" w:type="dxa"/>
            <w:shd w:val="clear" w:color="auto" w:fill="auto"/>
          </w:tcPr>
          <w:p w:rsidR="001957FF" w:rsidRPr="00D70281" w:rsidRDefault="001957FF" w:rsidP="00461868">
            <w:pPr>
              <w:spacing w:after="0" w:line="240" w:lineRule="auto"/>
              <w:rPr>
                <w:i/>
              </w:rPr>
            </w:pPr>
            <w:r w:rsidRPr="00D70281">
              <w:rPr>
                <w:i/>
              </w:rPr>
              <w:t>Приложение</w:t>
            </w:r>
          </w:p>
        </w:tc>
        <w:tc>
          <w:tcPr>
            <w:tcW w:w="7004" w:type="dxa"/>
            <w:shd w:val="clear" w:color="auto" w:fill="auto"/>
          </w:tcPr>
          <w:p w:rsidR="001957FF" w:rsidRPr="00046395" w:rsidRDefault="001957FF" w:rsidP="00461868">
            <w:pPr>
              <w:spacing w:after="100" w:afterAutospacing="1"/>
              <w:jc w:val="center"/>
              <w:rPr>
                <w:b/>
              </w:rPr>
            </w:pPr>
            <w:r w:rsidRPr="00046395">
              <w:rPr>
                <w:b/>
              </w:rPr>
              <w:t>Декларация о рисках, связанных с заключением договоров, являющихся производными финансовыми инструментами, базисным активом которых являются ценные бумаги иностранных эмитентов или индексы, рассчитанные по таким ценным бумагам</w:t>
            </w:r>
          </w:p>
          <w:p w:rsidR="001957FF" w:rsidRPr="00046395" w:rsidRDefault="001957FF" w:rsidP="00461868">
            <w:pPr>
              <w:spacing w:after="100" w:afterAutospacing="1"/>
              <w:ind w:firstLine="250"/>
            </w:pPr>
            <w:r w:rsidRPr="00046395">
              <w:t>Цель настоящей Декларации - предоставить Вам общую информацию об основных  рисках, связанных с заключением договоров, являющихся производными финансовыми инструментами, базисным активом которых являются ценные бумаги иностранных эмитентов или индексы, рассчитанные по таким ценным бумагам (далее – производные финансовые инструменты с иностранным базисным активом). Заключение указанных договоров связано с рисками, характерными для всех производных финансовых инструментов, а также специфическими рисками, обусловленными иностранным происхождением базисного актива.</w:t>
            </w:r>
          </w:p>
          <w:p w:rsidR="001957FF" w:rsidRPr="006417A1" w:rsidRDefault="001957FF" w:rsidP="00461868">
            <w:pPr>
              <w:spacing w:after="100" w:afterAutospacing="1"/>
              <w:jc w:val="center"/>
              <w:rPr>
                <w:b/>
              </w:rPr>
            </w:pPr>
            <w:r w:rsidRPr="006417A1">
              <w:rPr>
                <w:b/>
              </w:rPr>
              <w:t>Риски, связанные производными финансовыми инструментами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Данные инструменты подходят не всем клиентам. Более того, некоторые виды производных финансовых инструментов сопряжены с большим уровнем риска, чем другие. Так, при покупке опционного контракта потери клиента не превысят величину уплаченных премии, вознаграждения и расходов, связанных с их совершением. Продажа опционных контрактов с точки зрения риска клиента и заключение фьючерсных контрактов, форвардных контрактов и своп контрактов сопоставимы - при относительно небольших неблагоприятных колебаниях цен на рынке Вы подвергаетесь риску значительных убытков, при этом в случае продажи фьючерсных и форвардных контрактов и продажи опционов на покупку (опционов «колл») неограниченных убытков. С учетом этого, совершение сделок по продаже опционных контрактов и заключение фьючерсных и форвардных контрактов может быть рекомендовано только опытным инвесторам, обладающим значительными финансовыми возможностями и практическими знаниями в области применения инвестиционных стратегий.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Настоящая декларация относится также и к производным финансовым инструментам, направленным на снижение рисков других операций на фондовом рынке. Внимательно оцените, как Ваши производные финансовые инструменты соотносятся с операциями, риски по которым Вы намерены ограничить, и убедитесь, что </w:t>
            </w:r>
            <w:r>
              <w:t xml:space="preserve">объем </w:t>
            </w:r>
            <w:r w:rsidRPr="00046395">
              <w:t>Ваш</w:t>
            </w:r>
            <w:r>
              <w:t>ей</w:t>
            </w:r>
            <w:r w:rsidRPr="00046395">
              <w:t xml:space="preserve"> позици</w:t>
            </w:r>
            <w:r>
              <w:t>и</w:t>
            </w:r>
            <w:r w:rsidRPr="00046395">
              <w:t xml:space="preserve"> на срочном рынке соответствует </w:t>
            </w:r>
            <w:r>
              <w:t xml:space="preserve">объему </w:t>
            </w:r>
            <w:r w:rsidRPr="00046395">
              <w:t>позиции</w:t>
            </w:r>
            <w:r>
              <w:t xml:space="preserve"> на спот рынке</w:t>
            </w:r>
            <w:r w:rsidRPr="00046395">
              <w:t>, которую Вы хеджируете.</w:t>
            </w:r>
          </w:p>
          <w:p w:rsidR="001957FF" w:rsidRPr="00046395" w:rsidRDefault="001957FF" w:rsidP="00461868">
            <w:pPr>
              <w:ind w:firstLine="250"/>
            </w:pPr>
          </w:p>
          <w:p w:rsidR="001957FF" w:rsidRPr="00046395" w:rsidRDefault="001957FF" w:rsidP="00461868">
            <w:pPr>
              <w:ind w:firstLine="250"/>
            </w:pPr>
            <w:r w:rsidRPr="00046395">
              <w:t>Рыночный (ценовой) риск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lastRenderedPageBreak/>
              <w:t>Помимо общего рыночного (ценового) риска, который несет клиент, совершающий операции на рынке ценных бумаг, Вы, в случае заключения фьючерсных, форвардных и своп договоров (контрактов), а также в случае продажи опционных контрактов, будете нести риск неблагоприятного изменения цены как финансовых инструментов, являющихся баз</w:t>
            </w:r>
            <w:r>
              <w:t>исным</w:t>
            </w:r>
            <w:r w:rsidRPr="00046395">
              <w:t xml:space="preserve"> активом производных финансовых инструментов, так и риск в отношении активов, которые служат обеспечением.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В случае неблагоприятного изменения цены Вы можете в сравнительно короткий срок потерять средства, являющиеся обеспечением производных финансовых инструментов. </w:t>
            </w:r>
          </w:p>
          <w:p w:rsidR="001957FF" w:rsidRPr="00046395" w:rsidRDefault="001957FF" w:rsidP="00461868">
            <w:pPr>
              <w:ind w:firstLine="250"/>
            </w:pP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Риск ликвидности 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Если Ваша инвестиционная стратегия предусматривает возможность возникновения </w:t>
            </w:r>
            <w:r>
              <w:t xml:space="preserve">необходимости </w:t>
            </w:r>
            <w:r w:rsidRPr="00046395">
              <w:t>закрытия позиции по соответствующему контракту (или заключения сделки с иным контрактом, которая снижает риск по данному контракту), обращайте внимание на ликвидность соответствующих контрактов, так как закрытие позиций по неликвидным контрактам может привести к значительным дополнительным убыткам в связи с их низкой ликвидностью. Обратите внимание, что, как правило, контракты с более отдаленными сроками исполнения менее ликвидны по сравнени</w:t>
            </w:r>
            <w:r>
              <w:t>ю</w:t>
            </w:r>
            <w:r w:rsidRPr="00046395">
              <w:t xml:space="preserve"> с контрактами с близкими сроками исполнения.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Если заключенный Вами договор, являющийся производным финансовым инструментом, неликвиден, и у Вас возникла необходимость закрыть позицию, обязательно рассматривайте помимо закрытия позиции по данному контракту альтернативные варианты исключения риска посредством заключения сделок с иными производными финансовыми инструментами или с баз</w:t>
            </w:r>
            <w:r>
              <w:t>исн</w:t>
            </w:r>
            <w:r w:rsidRPr="00046395">
              <w:t>ыми активами. Использование альтернативных вариантов может привести к меньшим убыткам.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При этом трудности с закрытием позиций  и потери в цене могут привести к увеличению убытков по сравнению с обычными сделками. 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Ваши поручения, направленные на ограничение убытков, не всегда могут ограничить потери до предполагаемого уровня, так как в рамках складывающейся на рынке ситуации исполнение та</w:t>
            </w:r>
            <w:r>
              <w:t xml:space="preserve">кого поручения по указанной Вами </w:t>
            </w:r>
            <w:r w:rsidRPr="00046395">
              <w:t>цене может оказаться невозможным.</w:t>
            </w:r>
          </w:p>
          <w:p w:rsidR="001957FF" w:rsidRPr="00046395" w:rsidRDefault="001957FF" w:rsidP="00461868">
            <w:pPr>
              <w:ind w:firstLine="250"/>
            </w:pP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Ограничение распоряжения средствами, являющимися </w:t>
            </w:r>
            <w:r w:rsidRPr="00046395">
              <w:lastRenderedPageBreak/>
              <w:t xml:space="preserve">обеспечением  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Имущество (часть имущества), принадлежащее Вам, в результате заключения договора, являющегося производным финансовым инструментом, будет являться обеспечением исполнения Ваших обязательств по договору и распоряжение им, то есть возможность совершения Вами сделок с ним, будет ограничено. Размер обеспечения изменяется в порядке, предусмотренном договором (спецификацией контракта), и в результате Вы можете быть ограничены в возможности распоряжаться своим имуществом в большей степени, чем до заключения договора.</w:t>
            </w:r>
          </w:p>
          <w:p w:rsidR="001957FF" w:rsidRPr="00046395" w:rsidRDefault="001957FF" w:rsidP="00461868">
            <w:pPr>
              <w:ind w:firstLine="250"/>
            </w:pPr>
          </w:p>
          <w:p w:rsidR="001957FF" w:rsidRPr="00046395" w:rsidRDefault="001957FF" w:rsidP="00461868">
            <w:pPr>
              <w:ind w:firstLine="250"/>
            </w:pPr>
            <w:r w:rsidRPr="00046395">
              <w:t>Риск принудительного закрытия позиции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Неблагоприятное изменение цены может привести к необходимости внести дополнительные средства для того, чтобы привести обеспечение в соответствие с требованиями нормативных актов и брокерского договора, что должно быть сделано в короткий срок, которого может быть недостаточно для Вас. Ваш брокер в этом случае вправе без Вашего </w:t>
            </w:r>
            <w:r>
              <w:t xml:space="preserve">дополнительного </w:t>
            </w:r>
            <w:r w:rsidRPr="00046395">
              <w:t xml:space="preserve">согласия «принудительно закрыть позицию», то есть </w:t>
            </w:r>
            <w:r>
              <w:t xml:space="preserve">заключить договор, являющийся производным финансовым инструментом, или </w:t>
            </w:r>
            <w:r w:rsidRPr="00046395">
              <w:t>приобрести ценные бумаги за счет Ваших денежных средств, или продать Ваши ценные бумаги. Это может быть сделано по существующим, в том числе невыгодным, ценам и привести к возникновению у Вас убытков.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Принудительное закрытие позиции направлено на управление рисками. Вы можете понести значительные убытки несмотря на то, что после этого изменение цен на финансовые инструменты может принять благоприятное для Вас направление и Вы получили бы доход, если бы Ваша позиция не была закрыта. </w:t>
            </w:r>
          </w:p>
          <w:p w:rsidR="001957FF" w:rsidRDefault="001957FF" w:rsidP="00461868">
            <w:pPr>
              <w:ind w:firstLine="250"/>
              <w:jc w:val="center"/>
              <w:rPr>
                <w:b/>
              </w:rPr>
            </w:pPr>
          </w:p>
          <w:p w:rsidR="001957FF" w:rsidRPr="00046395" w:rsidRDefault="001957FF" w:rsidP="00461868">
            <w:pPr>
              <w:ind w:firstLine="250"/>
              <w:jc w:val="center"/>
              <w:rPr>
                <w:b/>
              </w:rPr>
            </w:pPr>
            <w:r w:rsidRPr="00046395">
              <w:rPr>
                <w:b/>
              </w:rPr>
              <w:t>Риски, обусловленные иностранным происхождением базисного актива</w:t>
            </w:r>
          </w:p>
          <w:p w:rsidR="001957FF" w:rsidRPr="00046395" w:rsidRDefault="001957FF" w:rsidP="00461868">
            <w:pPr>
              <w:spacing w:after="100" w:afterAutospacing="1"/>
              <w:ind w:firstLine="250"/>
            </w:pPr>
            <w:r w:rsidRPr="00046395">
              <w:t>Системные риски</w:t>
            </w:r>
          </w:p>
          <w:p w:rsidR="001957FF" w:rsidRPr="00046395" w:rsidRDefault="001957FF" w:rsidP="00461868">
            <w:pPr>
              <w:spacing w:after="100" w:afterAutospacing="1"/>
              <w:ind w:firstLine="250"/>
            </w:pPr>
            <w:r w:rsidRPr="00046395">
              <w:t xml:space="preserve">Применительно к базисному активу производных финансовых инструментов – ценным бумагам иностранных эмитентов и индексам, рассчитанным по таким ценным бумагам, системные риски, свойственные российскому фондовому рынку дополняются аналогичными системными рисками, свойственными стране, где выпущены или обращаются соответствующие иностранные ценные бумаг. К основным факторам, влияющим на уровень системного риска в целом, относятся политическая ситуация, особенности </w:t>
            </w:r>
            <w:r w:rsidRPr="00046395">
              <w:lastRenderedPageBreak/>
              <w:t>национального законодательства, валютного регулирования и вероятность их изменения, состояние государственных финансов, наличие и степень развитости финансовой системы страны места нахождения лица, обязанного по иностранным ценным бумагам.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На уровень системного риска могут оказывать влияние и многие другие факторы, в том числе вероятность введения ограничений на инвестиции в отдельные отрасли экономики или вероятность одномоментной девальвации национальной валюты. Общепринятой интегральной оценкой системного риска инвестиций является «суверенный рейтинг» в иностранной или национальной валюте, присвоенный стране, в которой зарегистрирован эмитент иностранной ценной бумаги, международными рейтинговыми агентствами MOODY’S, STANDARD &amp; POOR'S, FITCH IBCA, однако следует иметь в виду, что рейтинги являются лишь ориентирами и могут в конкретный момент не соответствовать реальной ситуации.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 xml:space="preserve">В настоящее время законодательство допускает возможность заключения российскими инвесторами договоров, являющихся </w:t>
            </w:r>
            <w:r>
              <w:t xml:space="preserve">российскими </w:t>
            </w:r>
            <w:r w:rsidRPr="00046395">
              <w:t>производными финансовыми инструментами, базисным активом которых являются ценные бумаги иностранных эмитентов или индексы, рассчитанные по таким ценным бумагам. Между тем, существуют риски изменения регулятивных подходов к соответствующим операциям, в результате чего может возникнуть необходимость совершать сделки, направленные на прекращение обязательств по указанным договорам</w:t>
            </w:r>
            <w:r>
              <w:t>,</w:t>
            </w:r>
            <w:r w:rsidRPr="00046395">
              <w:t xml:space="preserve"> вопреки Вашим планам.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Правовые риски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Необходимо отдавать себе отчет в том, что иностранные финансовые инструменты, являющиеся базисными активами производных финансовых инструментов, не всегда являются аналогами российских финансовых инструментов. В любом случае, предоставляемые по ним права и правила их осуществления могут существенно отличаться от прав по российским финансовым инструментам.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Возможности судебной защиты прав по производным финансовым инструментам с иностранным базисным активом могут быть существенно ограничены необходимостью обращения в зарубежные судебные и правоохранительные органы по установленным правилам, которые могут существенно отличаться от действующих в России. Кроме того, Вы в большинстве случаев не сможет</w:t>
            </w:r>
            <w:r>
              <w:t>е</w:t>
            </w:r>
            <w:r w:rsidRPr="00046395">
              <w:t xml:space="preserve"> полагаться на защиту своих прав и законных интересов российскими уполномоченными органами.</w:t>
            </w:r>
          </w:p>
          <w:p w:rsidR="001957FF" w:rsidRPr="00046395" w:rsidRDefault="001957FF" w:rsidP="00461868">
            <w:pPr>
              <w:ind w:firstLine="250"/>
            </w:pPr>
          </w:p>
          <w:p w:rsidR="001957FF" w:rsidRPr="00046395" w:rsidRDefault="001957FF" w:rsidP="00461868">
            <w:pPr>
              <w:ind w:firstLine="250"/>
            </w:pPr>
            <w:r w:rsidRPr="00046395">
              <w:lastRenderedPageBreak/>
              <w:t>Раскрытие информации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Раскрытие информации в отношении иностранных ценных бумаг, являющихся базисным активом производных финансовых инструментов, осуществляется по правилам, действующим за рубежом</w:t>
            </w:r>
            <w:r>
              <w:t>,</w:t>
            </w:r>
            <w:r w:rsidRPr="00046395">
              <w:t xml:space="preserve"> и на английском языке. Оцените свою готовность анализировать информацию на английском языке, а также то, понимаете ли Вы отличия между принятыми в России правилами финансовой отчетности, Международными стандартами финансовой отчетности или правилами финансовой отчетности, по которым публикуется информация эмитентом иностранных ценных бумаг.</w:t>
            </w:r>
          </w:p>
          <w:p w:rsidR="001957FF" w:rsidRPr="00046395" w:rsidRDefault="001957FF" w:rsidP="00461868">
            <w:pPr>
              <w:ind w:firstLine="250"/>
            </w:pPr>
            <w:r w:rsidRPr="00046395">
              <w:t>Также российские организаторы торговли и (или) брокеры могут осуществлять перевод некоторых документов (информации), раскрываемых иностранным эмитентом для Вашего удобства. В этом случае перевод может восприниматься исключительно как вспомогательная информация к официально раскрытым документам (информации) на иностранном языке. Всегда учитывайте вероятность ошибок переводчика, в том числе  связанных с возможным различным переводом одних и тех же иностранных слов и фраз или отсутствием общепринятого русского эквивалента.</w:t>
            </w:r>
          </w:p>
          <w:p w:rsidR="001957FF" w:rsidRPr="00046395" w:rsidRDefault="001957FF" w:rsidP="00461868">
            <w:pPr>
              <w:spacing w:before="240"/>
              <w:ind w:firstLine="250"/>
              <w:jc w:val="center"/>
            </w:pPr>
            <w:r w:rsidRPr="00046395">
              <w:t>***</w:t>
            </w:r>
          </w:p>
          <w:p w:rsidR="001957FF" w:rsidRPr="00D70281" w:rsidDel="003A76F4" w:rsidRDefault="001957FF" w:rsidP="00461868">
            <w:pPr>
              <w:spacing w:after="100" w:afterAutospacing="1" w:line="240" w:lineRule="auto"/>
              <w:rPr>
                <w:b/>
              </w:rPr>
            </w:pPr>
            <w:r w:rsidRPr="00046395">
              <w:t xml:space="preserve">Учитывая вышеизложенное, мы рекомендуем Вам внимательно рассмотреть вопрос о том, являются ли риски, возникающие при проведении соответствующих операций, приемлемыми для Вас с учетом Ваших инвестиционных целей и финансовых возможностей. Данная Декларация не имеет своей целью заставить Вас отказаться от осуществления таких операций, а призвана помочь Вам оценить их риски и ответственно подойти к решению вопроса о выборе Вашей инвестиционной стратегии и условий договора с </w:t>
            </w:r>
            <w:r>
              <w:t xml:space="preserve">Вашим </w:t>
            </w:r>
            <w:r w:rsidRPr="003A76F4">
              <w:t>[</w:t>
            </w:r>
            <w:r>
              <w:t>брокером</w:t>
            </w:r>
            <w:r w:rsidRPr="003A76F4">
              <w:t>]</w:t>
            </w:r>
            <w:r>
              <w:t xml:space="preserve"> </w:t>
            </w:r>
            <w:r w:rsidRPr="003A76F4">
              <w:t>[</w:t>
            </w:r>
            <w:r>
              <w:t>управляющим</w:t>
            </w:r>
            <w:r w:rsidRPr="003A76F4">
              <w:t>]</w:t>
            </w:r>
            <w:r>
              <w:rPr>
                <w:rStyle w:val="a5"/>
              </w:rPr>
              <w:footnoteReference w:id="1"/>
            </w:r>
            <w:r w:rsidRPr="00046395">
              <w:t>.</w:t>
            </w:r>
          </w:p>
        </w:tc>
      </w:tr>
    </w:tbl>
    <w:p w:rsidR="00B60EF0" w:rsidRDefault="00B60EF0"/>
    <w:sectPr w:rsidR="00B60EF0" w:rsidSect="00B6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312" w:rsidRDefault="00096312" w:rsidP="001957FF">
      <w:pPr>
        <w:spacing w:after="0" w:line="240" w:lineRule="auto"/>
      </w:pPr>
      <w:r>
        <w:separator/>
      </w:r>
    </w:p>
  </w:endnote>
  <w:endnote w:type="continuationSeparator" w:id="0">
    <w:p w:rsidR="00096312" w:rsidRDefault="00096312" w:rsidP="0019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312" w:rsidRDefault="00096312" w:rsidP="001957FF">
      <w:pPr>
        <w:spacing w:after="0" w:line="240" w:lineRule="auto"/>
      </w:pPr>
      <w:r>
        <w:separator/>
      </w:r>
    </w:p>
  </w:footnote>
  <w:footnote w:type="continuationSeparator" w:id="0">
    <w:p w:rsidR="00096312" w:rsidRDefault="00096312" w:rsidP="001957FF">
      <w:pPr>
        <w:spacing w:after="0" w:line="240" w:lineRule="auto"/>
      </w:pPr>
      <w:r>
        <w:continuationSeparator/>
      </w:r>
    </w:p>
  </w:footnote>
  <w:footnote w:id="1">
    <w:p w:rsidR="001957FF" w:rsidRDefault="001957FF" w:rsidP="001957FF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cs="Calibri"/>
        </w:rPr>
        <w:t>Т</w:t>
      </w:r>
      <w:r w:rsidRPr="00F53E66">
        <w:rPr>
          <w:rFonts w:cs="Calibri"/>
        </w:rPr>
        <w:t>екст в квадратных скобках включается в зависимости от вида профессиональной деятельности на рынке ценных бумаг члена НАУФОР, представляющего декларацию о рисках, и договора, который предлагается заключить клиенту (заключен с клиентом).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57FF"/>
    <w:rsid w:val="00096312"/>
    <w:rsid w:val="001957FF"/>
    <w:rsid w:val="003D1243"/>
    <w:rsid w:val="00B60EF0"/>
    <w:rsid w:val="00BF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7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1957FF"/>
    <w:pPr>
      <w:autoSpaceDE w:val="0"/>
      <w:autoSpaceDN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1957FF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1957F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1524</Words>
  <Characters>8688</Characters>
  <Application>Microsoft Office Word</Application>
  <DocSecurity>0</DocSecurity>
  <Lines>72</Lines>
  <Paragraphs>20</Paragraphs>
  <ScaleCrop>false</ScaleCrop>
  <Company/>
  <LinksUpToDate>false</LinksUpToDate>
  <CharactersWithSpaces>10192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</dc:creator>
  <cp:lastModifiedBy>Кудинова</cp:lastModifiedBy>
  <cp:revision>1</cp:revision>
  <dcterms:created xsi:type="dcterms:W3CDTF">2017-08-09T12:38:00Z</dcterms:created>
  <dcterms:modified xsi:type="dcterms:W3CDTF">2017-08-09T12:39:00Z</dcterms:modified>
</cp:coreProperties>
</file>