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39A1" w:rsidRPr="00B34D8A" w:rsidRDefault="007F49DF" w:rsidP="001F39A1">
      <w:pPr>
        <w:widowControl w:val="0"/>
        <w:autoSpaceDE w:val="0"/>
        <w:autoSpaceDN w:val="0"/>
        <w:adjustRightInd w:val="0"/>
        <w:ind w:left="900"/>
        <w:jc w:val="right"/>
        <w:outlineLvl w:val="1"/>
        <w:rPr>
          <w:b/>
          <w:sz w:val="16"/>
          <w:szCs w:val="16"/>
        </w:rPr>
      </w:pPr>
      <w:r w:rsidRPr="00B34D8A">
        <w:rPr>
          <w:b/>
          <w:sz w:val="16"/>
          <w:szCs w:val="16"/>
        </w:rPr>
        <w:t xml:space="preserve">Приложение № </w:t>
      </w:r>
      <w:r w:rsidR="00647876" w:rsidRPr="00B34D8A">
        <w:rPr>
          <w:b/>
          <w:sz w:val="16"/>
          <w:szCs w:val="16"/>
        </w:rPr>
        <w:t>9</w:t>
      </w:r>
    </w:p>
    <w:p w:rsidR="002640FE" w:rsidRDefault="002640FE" w:rsidP="002640FE">
      <w:pPr>
        <w:tabs>
          <w:tab w:val="num" w:pos="0"/>
          <w:tab w:val="left" w:pos="1080"/>
        </w:tabs>
        <w:ind w:firstLine="3600"/>
        <w:jc w:val="right"/>
        <w:rPr>
          <w:sz w:val="16"/>
          <w:szCs w:val="16"/>
        </w:rPr>
      </w:pPr>
      <w:r w:rsidRPr="00F06A86">
        <w:rPr>
          <w:sz w:val="16"/>
          <w:szCs w:val="16"/>
        </w:rPr>
        <w:t xml:space="preserve">к </w:t>
      </w:r>
      <w:r>
        <w:rPr>
          <w:sz w:val="16"/>
          <w:szCs w:val="16"/>
        </w:rPr>
        <w:t xml:space="preserve">Рекомендациям НАУФОР по разработке </w:t>
      </w:r>
    </w:p>
    <w:p w:rsidR="002640FE" w:rsidRPr="00F06A86" w:rsidRDefault="002640FE" w:rsidP="002640FE">
      <w:pPr>
        <w:tabs>
          <w:tab w:val="num" w:pos="0"/>
          <w:tab w:val="left" w:pos="1080"/>
        </w:tabs>
        <w:ind w:firstLine="3600"/>
        <w:jc w:val="right"/>
        <w:rPr>
          <w:sz w:val="16"/>
          <w:szCs w:val="16"/>
        </w:rPr>
      </w:pPr>
      <w:r w:rsidRPr="00F06A86">
        <w:rPr>
          <w:sz w:val="16"/>
          <w:szCs w:val="16"/>
        </w:rPr>
        <w:t>Правил внутреннего контроля</w:t>
      </w:r>
    </w:p>
    <w:p w:rsidR="002640FE" w:rsidRPr="00F06A86" w:rsidRDefault="002640FE" w:rsidP="002640FE">
      <w:pPr>
        <w:tabs>
          <w:tab w:val="num" w:pos="0"/>
          <w:tab w:val="left" w:pos="1080"/>
        </w:tabs>
        <w:ind w:firstLine="3600"/>
        <w:jc w:val="right"/>
        <w:rPr>
          <w:sz w:val="16"/>
          <w:szCs w:val="16"/>
        </w:rPr>
      </w:pPr>
      <w:r w:rsidRPr="00F06A86">
        <w:rPr>
          <w:sz w:val="16"/>
          <w:szCs w:val="16"/>
        </w:rPr>
        <w:t xml:space="preserve"> в целях противодействия легализации (отмыванию) доходов,</w:t>
      </w:r>
    </w:p>
    <w:p w:rsidR="002640FE" w:rsidRDefault="002640FE" w:rsidP="002640FE">
      <w:pPr>
        <w:ind w:left="-1134" w:firstLine="1134"/>
        <w:jc w:val="right"/>
        <w:rPr>
          <w:sz w:val="16"/>
          <w:szCs w:val="16"/>
        </w:rPr>
      </w:pPr>
      <w:r w:rsidRPr="00F06A86">
        <w:rPr>
          <w:sz w:val="16"/>
          <w:szCs w:val="16"/>
        </w:rPr>
        <w:t>полученных преступным путем, и финансированию терроризма</w:t>
      </w:r>
    </w:p>
    <w:p w:rsidR="001F39A1" w:rsidRPr="00B34D8A" w:rsidRDefault="001F39A1" w:rsidP="001F39A1">
      <w:pPr>
        <w:autoSpaceDE w:val="0"/>
        <w:autoSpaceDN w:val="0"/>
        <w:adjustRightInd w:val="0"/>
        <w:jc w:val="center"/>
        <w:rPr>
          <w:b/>
          <w:sz w:val="22"/>
          <w:szCs w:val="22"/>
        </w:rPr>
      </w:pPr>
    </w:p>
    <w:p w:rsidR="001F39A1" w:rsidRPr="00B34D8A" w:rsidRDefault="001F39A1" w:rsidP="001F39A1">
      <w:pPr>
        <w:autoSpaceDE w:val="0"/>
        <w:autoSpaceDN w:val="0"/>
        <w:adjustRightInd w:val="0"/>
        <w:jc w:val="center"/>
        <w:rPr>
          <w:b/>
          <w:sz w:val="22"/>
          <w:szCs w:val="22"/>
        </w:rPr>
      </w:pPr>
    </w:p>
    <w:p w:rsidR="001F39A1" w:rsidRDefault="001F39A1" w:rsidP="001F39A1">
      <w:pPr>
        <w:autoSpaceDE w:val="0"/>
        <w:autoSpaceDN w:val="0"/>
        <w:adjustRightInd w:val="0"/>
        <w:jc w:val="center"/>
        <w:rPr>
          <w:b/>
          <w:sz w:val="22"/>
          <w:szCs w:val="22"/>
        </w:rPr>
      </w:pPr>
      <w:r w:rsidRPr="00B34D8A">
        <w:rPr>
          <w:b/>
          <w:sz w:val="22"/>
          <w:szCs w:val="22"/>
        </w:rPr>
        <w:t>ПРИЗНАКИ, УКАЗЫВАЮЩИЕ НА НЕОБЫЧНЫЙ ХАРАКТЕР СДЕЛКИ</w:t>
      </w:r>
    </w:p>
    <w:p w:rsidR="00597032" w:rsidRDefault="00597032" w:rsidP="001F39A1">
      <w:pPr>
        <w:autoSpaceDE w:val="0"/>
        <w:autoSpaceDN w:val="0"/>
        <w:adjustRightInd w:val="0"/>
        <w:jc w:val="center"/>
        <w:rPr>
          <w:b/>
          <w:sz w:val="22"/>
          <w:szCs w:val="22"/>
        </w:rPr>
      </w:pPr>
    </w:p>
    <w:tbl>
      <w:tblPr>
        <w:tblW w:w="9923" w:type="dxa"/>
        <w:tblInd w:w="-222" w:type="dxa"/>
        <w:tblLayout w:type="fixed"/>
        <w:tblCellMar>
          <w:top w:w="75" w:type="dxa"/>
          <w:left w:w="0" w:type="dxa"/>
          <w:bottom w:w="75" w:type="dxa"/>
          <w:right w:w="0" w:type="dxa"/>
        </w:tblCellMar>
        <w:tblLook w:val="0000"/>
      </w:tblPr>
      <w:tblGrid>
        <w:gridCol w:w="993"/>
        <w:gridCol w:w="1075"/>
        <w:gridCol w:w="7855"/>
      </w:tblGrid>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597032" w:rsidRPr="00B34D8A" w:rsidRDefault="00597032" w:rsidP="00C942F4">
            <w:pPr>
              <w:autoSpaceDE w:val="0"/>
              <w:autoSpaceDN w:val="0"/>
              <w:adjustRightInd w:val="0"/>
              <w:jc w:val="center"/>
              <w:rPr>
                <w:b/>
                <w:sz w:val="18"/>
                <w:szCs w:val="18"/>
              </w:rPr>
            </w:pPr>
            <w:r w:rsidRPr="00B34D8A">
              <w:rPr>
                <w:b/>
                <w:sz w:val="18"/>
                <w:szCs w:val="18"/>
              </w:rPr>
              <w:t>Код группы признака</w:t>
            </w: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597032" w:rsidRPr="00B34D8A" w:rsidRDefault="00597032" w:rsidP="00C942F4">
            <w:pPr>
              <w:autoSpaceDE w:val="0"/>
              <w:autoSpaceDN w:val="0"/>
              <w:adjustRightInd w:val="0"/>
              <w:jc w:val="center"/>
              <w:rPr>
                <w:b/>
                <w:sz w:val="18"/>
                <w:szCs w:val="18"/>
              </w:rPr>
            </w:pPr>
            <w:r w:rsidRPr="00B34D8A">
              <w:rPr>
                <w:b/>
                <w:sz w:val="18"/>
                <w:szCs w:val="18"/>
              </w:rPr>
              <w:t>Код вида признака</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597032" w:rsidRPr="00B34D8A" w:rsidRDefault="00597032" w:rsidP="00C942F4">
            <w:pPr>
              <w:autoSpaceDE w:val="0"/>
              <w:autoSpaceDN w:val="0"/>
              <w:adjustRightInd w:val="0"/>
              <w:jc w:val="center"/>
              <w:rPr>
                <w:b/>
                <w:sz w:val="18"/>
                <w:szCs w:val="18"/>
              </w:rPr>
            </w:pPr>
            <w:r w:rsidRPr="00B34D8A">
              <w:rPr>
                <w:b/>
                <w:sz w:val="18"/>
                <w:szCs w:val="18"/>
              </w:rPr>
              <w:t>Описание признака</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center"/>
            </w:pPr>
            <w:r w:rsidRPr="00B34D8A">
              <w:rPr>
                <w:sz w:val="22"/>
                <w:szCs w:val="22"/>
              </w:rPr>
              <w:t>1</w:t>
            </w: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center"/>
            </w:pPr>
            <w:r w:rsidRPr="00B34D8A">
              <w:rPr>
                <w:sz w:val="22"/>
                <w:szCs w:val="22"/>
              </w:rPr>
              <w:t>2</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center"/>
            </w:pPr>
            <w:r w:rsidRPr="00B34D8A">
              <w:rPr>
                <w:sz w:val="22"/>
                <w:szCs w:val="22"/>
              </w:rPr>
              <w:t>3</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outlineLvl w:val="0"/>
            </w:pPr>
            <w:r w:rsidRPr="00B34D8A">
              <w:rPr>
                <w:sz w:val="22"/>
                <w:szCs w:val="22"/>
              </w:rPr>
              <w:t>11</w:t>
            </w: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Общие признаки, свидетельствующие о возможном осуществлении легализации (отмывания) доходов, полученных преступным путем</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1101</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Запутанный или необычный характер сделки, не имеющей очевидного экономического смысла или очевидной законной цели</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1102</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Несоответствие сделки целям деятельности организации, установленным учредительными документами этой организации</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1103</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 xml:space="preserve">Неоднократное совершение операций или сделок, характер которых дает основание полагать, что целью их осуществления является уклонение от процедур обязательного контроля, предусмотренных Федеральным </w:t>
            </w:r>
            <w:hyperlink r:id="rId4" w:history="1">
              <w:r w:rsidRPr="00B34D8A">
                <w:rPr>
                  <w:sz w:val="22"/>
                  <w:szCs w:val="22"/>
                </w:rPr>
                <w:t>законом</w:t>
              </w:r>
            </w:hyperlink>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1106</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Отказ клиента (представителя клиента) в предоставлении запрошенных некредитной финансовой организацией документов и информации, которые необходимы организации для выполнения требований законодательства в сфере противодействия легализации (отмыванию) доходов, полученных преступным путем, и финансированию терроризма</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1107</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Излишняя озабоченность клиента (представителя клиента) вопросами конфиденциальности в отношении осуществляемой операции (сделки), в том числе раскрытия информации государственным органам</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1108</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Пренебрежение клиентом (представителем клиента) более выгодными условиями получения услуг (в частности, тарифом комиссионного вознаграждения), а также предложение клиентом (представителем клиента) необычно высокой комиссии или комиссии, заведомо отличающейся от обычно взимаемой комиссии при оказании такого рода услуг</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1109</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Наличие нестандартных или необычно сложных инструкций по порядку проведения расчетов, отличающихся от обычной практики, используемой данным клиентом (представителем клиента), или от обычной рыночной практики</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1110</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Необоснованная поспешность в проведении операции, на которой настаивает клиент (представитель клиента)</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1111</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Внесение клиентом (представителем клиента) в ранее согласованную схему операции (сделки) непосредственно перед началом ее реализации значительных изменений, особенно касающихся направления движения денежных средств или иного имущества</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1112</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Передача клиентом поручения об осуществлении операции через представителя (посредника), если представитель (посредник) выполняет поручение клиента без вступления в прямой (личный) контакт с некредитной финансовой организацией</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1113</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Явное несоответствие операций, проводимых клиентом (представителем клиента) с участием некредитной финансовой организации, общепринятой рыночной практике совершения операций</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1114</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 xml:space="preserve">Отсутствие информации о клиенте - юридическом лице, </w:t>
            </w:r>
            <w:r w:rsidRPr="000F5C9D">
              <w:rPr>
                <w:sz w:val="22"/>
                <w:szCs w:val="22"/>
                <w:highlight w:val="lightGray"/>
              </w:rPr>
              <w:t>иностранной структуре без образования юридического лица,</w:t>
            </w:r>
            <w:r>
              <w:rPr>
                <w:sz w:val="22"/>
                <w:szCs w:val="22"/>
              </w:rPr>
              <w:t xml:space="preserve"> </w:t>
            </w:r>
            <w:r w:rsidRPr="00B34D8A">
              <w:rPr>
                <w:sz w:val="22"/>
                <w:szCs w:val="22"/>
              </w:rPr>
              <w:t>индивидуальном предпринимателе в официальных справочных изданиях либо невозможность осуществления связи с клиентом по указанным им адресам и телефонам</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1116</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Сложности, возникающие у некредитной финансовой организации при проверке представляемых клиентом сведений, неоправданные задержки в предоставлении клиентом документов и информации, предоставление клиентом информации, которую невозможно проверить</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1117</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Совершение операции клиентом, являющимся иностранным публичным должностным лицом, либо должностным лицом публичной международной организации, либо действующим в интересах (к выгоде) иностранного публичного должностного лица, либо являющимся супругом, близким родственником (родственником по прямой восходящей и нисходящей линии (родителем и ребенком, дедушкой, бабушкой, внуком, внучкой), полнородным и неполнородным (имеющим общих отца или мать) братом и сестрой, усыновителем и усыновленным) иностранного публичного должностного лица</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1118</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 xml:space="preserve">Совершение операции (сделки) в случае, когда клиент, представитель клиента действуют от имени (в интересах) некоммерческих организаций, иностранных некоммерческих неправительственных организаций и их отделений, представительств и филиалов, осуществляющих свою деятельность на территории Российской Федерации, если такая операция (сделка) не подлежит обязательному контролю в соответствии с </w:t>
            </w:r>
            <w:hyperlink r:id="rId5" w:history="1">
              <w:r w:rsidRPr="00B34D8A">
                <w:rPr>
                  <w:sz w:val="22"/>
                  <w:szCs w:val="22"/>
                </w:rPr>
                <w:t>пунктом 1.2 статьи 6</w:t>
              </w:r>
            </w:hyperlink>
            <w:r w:rsidRPr="00B34D8A">
              <w:rPr>
                <w:sz w:val="22"/>
                <w:szCs w:val="22"/>
              </w:rPr>
              <w:t xml:space="preserve"> Федерального закона</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1119</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Совершение операции в случае, когда клиент или представитель клиента, выгодоприобретатель, учредитель юридического лица является руководителем или учредителем некоммерческой организации, иностранной некоммерческой неправительственной организации, ее отделения, филиала или представительства, осуществляющих свою деятельность на территории Российской Федерации</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1120</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Совершение операций, предметом которых являются предметы искусства</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1122</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 xml:space="preserve">Совершение операции в случае, когда клиент является некоммерческой организацией, иностранной некоммерческой неправительственной организацией и ее отделением, представительством и филиалом, осуществляющим свою деятельность на территории Российской Федерации, и такая операция не подлежит обязательному контролю в соответствии с </w:t>
            </w:r>
            <w:hyperlink r:id="rId6" w:history="1">
              <w:r w:rsidRPr="00B34D8A">
                <w:rPr>
                  <w:sz w:val="22"/>
                  <w:szCs w:val="22"/>
                </w:rPr>
                <w:t>пунктом 1.2 статьи 6</w:t>
              </w:r>
            </w:hyperlink>
            <w:r w:rsidRPr="00B34D8A">
              <w:rPr>
                <w:sz w:val="22"/>
                <w:szCs w:val="22"/>
              </w:rPr>
              <w:t xml:space="preserve"> Федерального закона</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1123</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 xml:space="preserve">Совершение операции клиентом, в отношении которого уполномоченным органом в некредитную финансовую организацию направлен либо ранее направлялся запрос, предусмотренный </w:t>
            </w:r>
            <w:hyperlink r:id="rId7" w:history="1">
              <w:r w:rsidRPr="00B34D8A">
                <w:rPr>
                  <w:sz w:val="22"/>
                  <w:szCs w:val="22"/>
                </w:rPr>
                <w:t>подпунктом 5 пункта 1 статьи 7</w:t>
              </w:r>
            </w:hyperlink>
            <w:r w:rsidRPr="00B34D8A">
              <w:rPr>
                <w:sz w:val="22"/>
                <w:szCs w:val="22"/>
              </w:rPr>
              <w:t xml:space="preserve"> Федерального закона</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1124</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Отказ клиента от совершения разовой операции, в отношении которой у работников организации возникают подозрения, что указанная операция осуществляется в целях легализации (отмывания) доходов, полученных преступным путем, или финансирования терроризма</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1179</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 xml:space="preserve">Совершение операции (сделки) в случае, когда клиент является лицом, </w:t>
            </w:r>
            <w:r w:rsidRPr="00B34D8A">
              <w:rPr>
                <w:sz w:val="22"/>
                <w:szCs w:val="22"/>
              </w:rPr>
              <w:lastRenderedPageBreak/>
              <w:t xml:space="preserve">замещающим (занимающим) государственную должность Российской Федерации, должность члена Совета директоров Центрального банка Российской Федерации, должность федеральной государственной службы, назначение на которые и освобождение от которых осуществляются Президентом Российской Федерации или Правительством Российской Федерации, должность в Центральном банке Российской Федерации, государственной корпорации и иных организациях, созданных Российской Федерацией на основании федеральных законов, включенные в перечни должностей, определяемые Президентом Российской Федерации в соответствии со </w:t>
            </w:r>
            <w:hyperlink r:id="rId8" w:history="1">
              <w:r w:rsidRPr="00B34D8A">
                <w:rPr>
                  <w:sz w:val="22"/>
                  <w:szCs w:val="22"/>
                </w:rPr>
                <w:t>статьей 7.3</w:t>
              </w:r>
            </w:hyperlink>
            <w:r w:rsidRPr="00B34D8A">
              <w:rPr>
                <w:sz w:val="22"/>
                <w:szCs w:val="22"/>
              </w:rPr>
              <w:t xml:space="preserve"> Федерального закона</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1180</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Поручение клиента осуществить возврат ранее перечисленных денежных средств в течение короткого промежутка времени на счет клиента, отличный от счета, с которого данные денежные средства были ранее зачислены, в том числе на счет в банк-нерезидент, либо на свой счет в банке, отличном от банка, из которого первоначально поступили средства для проведения данной сделки, либо на счет третьего лица, не являющегося стороной по сделке, в том числе при досрочном расторжении договора (сделки)</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1181</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Поручение клиента перечислить полученные по операции (сделке) денежные средства на счет клиента, отличный от счета, указанного в договоре, в том числе на счет в банк-нерезидент, либо на свой счет в банке, отличном от банка, из которого первоначально поступили средства для проведения данной сделки, либо на счет третьего лица, не являющегося стороной по сделке</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1182</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Поручение клиента осуществить возврат в наличной форме ранее перечисленных денежных средств в течение короткого промежутка времени с момента их перечисления (либо заключения договора (сделки)), в том числе при досрочном расторжении договора (сделки), клиенту или третьему лицу</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1183</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Получение денежных средств от клиента - юридического лица, в состав учредителей которого входят благотворительные организации и/или фонды или иные виды некоммерческих организаций с долей участия в уставном капитале такого лица, позволяющей прямо или косвенно оказывать влияние на решения, принимаемые указанным юридическим лицом</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1184</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Получение денежных средств от клиента в случае, если имеются основания полагать, что клиент является получателем грантов или иных видов безвозмездной финансовой помощи от иностранных некоммерческих неправительственных организаций и/или их представительств и филиалов, осуществляющих свою деятельность на территории Российской Федерации</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1185</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Совершение операций с использованием дистанционных систем обслуживания в случае, если возникает подозрение, что такими системами пользуется третье лицо, а не сам клиент (представитель клиента)</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1186</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Немотивированное требование клиента о расторжении договора и/или возврате уплаченных клиентом денежных средств до фактического осуществления операции (сделки)</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1187</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Существенное отклонение суммы операции (сделки) относительно действующих рыночных цен, в том числе по настоянию клиента</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1188</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Отсутствие очевидной связи между характером и родом деятельности клиента с услугами, за которыми клиент обращается к организации, осуществляющей операции с денежными средствами или иным имуществом</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1189</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 xml:space="preserve">Совершение операций (сделок) с юридическим лицом или индивидуальным предпринимателем, период деятельности которых с даты государственной </w:t>
            </w:r>
            <w:r w:rsidRPr="00B34D8A">
              <w:rPr>
                <w:sz w:val="22"/>
                <w:szCs w:val="22"/>
              </w:rPr>
              <w:lastRenderedPageBreak/>
              <w:t>регистрации составляет менее одного года</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0F5C9D" w:rsidRDefault="00597032" w:rsidP="00C942F4">
            <w:pPr>
              <w:autoSpaceDE w:val="0"/>
              <w:autoSpaceDN w:val="0"/>
              <w:adjustRightInd w:val="0"/>
              <w:rPr>
                <w:highlight w:val="lightGray"/>
              </w:rPr>
            </w:pPr>
            <w:r w:rsidRPr="000F5C9D">
              <w:rPr>
                <w:sz w:val="22"/>
                <w:szCs w:val="22"/>
                <w:highlight w:val="lightGray"/>
              </w:rPr>
              <w:t>1191</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0F5C9D" w:rsidRDefault="00597032" w:rsidP="00C942F4">
            <w:pPr>
              <w:autoSpaceDE w:val="0"/>
              <w:autoSpaceDN w:val="0"/>
              <w:adjustRightInd w:val="0"/>
              <w:jc w:val="both"/>
              <w:rPr>
                <w:highlight w:val="lightGray"/>
              </w:rPr>
            </w:pPr>
            <w:r w:rsidRPr="000F5C9D">
              <w:rPr>
                <w:sz w:val="22"/>
                <w:szCs w:val="22"/>
                <w:highlight w:val="lightGray"/>
              </w:rPr>
              <w:t xml:space="preserve">Операция по получению или предоставлению безвозмездной финансовой помощи </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1192</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Совершение операции (сделки) в интересах клиента, период деятельности которого с момента государственной регистрации не превышает трех месяцев, если при этом клиент имеет незначительный размер уставного капитала по сравнению с суммой операции (сделки), которую намеревается совершить</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1193</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Использование клиентом счетов, открытых в различных кредитных организациях, для расчетов в рамках одного договора</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1194</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Осуществление расчетов между сторонами сделки с использованием расчетных счетов третьих лиц</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1195</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Многократное внесение учредителями (руководителями) денежных средств для пополнения оборотных средств организации</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1199</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Иные критерии, свидетельствующие о возможном осуществлении легализации (отмывания) доходов, полученных преступным путем</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outlineLvl w:val="0"/>
            </w:pPr>
            <w:r w:rsidRPr="00B34D8A">
              <w:rPr>
                <w:sz w:val="22"/>
                <w:szCs w:val="22"/>
              </w:rPr>
              <w:t>12</w:t>
            </w: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Признаки необычных сделок с использованием бюджетных средств</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1290</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Совершение операции (сделки) по поручению клиента в случае, когда клиент, учредитель или выгодоприобретатель является участником федеральных, региональных либо муниципальных целевых программ или национальных проектов</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1291</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Совершение операции (сделки) по поручению клиента в случае, если имеются основания полагать, что клиент, учредитель, бенефициарный владелец или выгодоприобретатель является получателем субсидий, грантов или иных видов государственной поддержки за счет средств федерального бюджета, бюджета субъекта Российской Федерации или муниципального бюджета</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1292</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 xml:space="preserve">Совершение операции (сделки) по поручению клиента, являющегося исполнителем (подрядчиком или субподрядчиком) по государственному или муниципальному контракту на поставку товаров, выполнение работ, оказание услуг, либо по гражданско-правовому договору с бюджетным учреждением на поставку товаров, выполнение работ, оказание услуг (если сумма такого контракта составляет или превышает 6 000 000 руб.) </w:t>
            </w:r>
            <w:hyperlink r:id="rId9" w:history="1">
              <w:r w:rsidRPr="00B34D8A">
                <w:rPr>
                  <w:sz w:val="22"/>
                  <w:szCs w:val="22"/>
                </w:rPr>
                <w:t>&lt;2&gt;</w:t>
              </w:r>
            </w:hyperlink>
            <w:r w:rsidRPr="00B34D8A">
              <w:rPr>
                <w:sz w:val="22"/>
                <w:szCs w:val="22"/>
              </w:rPr>
              <w:t>, если при этом такой клиент имеет незначительный размер уставного капитала по сравнению с суммой операции (сделки), которую намеревается совершить, и период его деятельности не превышает шесть месяцев с даты государственной регистрации</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1299</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Иные признаки, свидетельствующие о возможном осуществлении легализации (отмывания) доходов, полученных преступным путем</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outlineLvl w:val="0"/>
            </w:pPr>
            <w:r w:rsidRPr="00B34D8A">
              <w:rPr>
                <w:sz w:val="22"/>
                <w:szCs w:val="22"/>
              </w:rPr>
              <w:t>13</w:t>
            </w: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Признаки необычных сделок, основанные на стране регистрации, месте жительства или месте нахождения клиента, его контрагента, представителя клиента, выгодоприобретателя, бенефициарного владельца или участника клиента - юридического лица</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1301</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Совершение операции (сделки) в случае, когда клиент, его контрагент, представитель клиента, бенефициарный владелец, выгодоприобретатель или участник клиента - юридического лица зарегистрирован в государстве (на территории) с высокой террористической или экстремистской активностью</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1302</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Совершение операции (сделки) в случае, когда клиент, его контрагент, представитель клиента, бенефициарный владелец, выгодоприобретатель или участник клиента зарегистрирован в государстве (на территории), в отношении которого (которой) применяются международные санкции</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1303</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 xml:space="preserve">Совершение операции (сделки) в случае, когда клиент, его контрагент, представитель клиента, бенефициарный владелец, выгодоприобретатель, участник клиента - юридического лица зарегистрирован в государстве (на территории), в отношении которого (которой) применяются специальные экономические меры в соответствии с Федеральным </w:t>
            </w:r>
            <w:hyperlink r:id="rId10" w:history="1">
              <w:r w:rsidRPr="00B34D8A">
                <w:rPr>
                  <w:sz w:val="22"/>
                  <w:szCs w:val="22"/>
                </w:rPr>
                <w:t>законом</w:t>
              </w:r>
            </w:hyperlink>
            <w:r w:rsidRPr="00B34D8A">
              <w:rPr>
                <w:sz w:val="22"/>
                <w:szCs w:val="22"/>
              </w:rPr>
              <w:t xml:space="preserve"> "О специальных экономических мерах"</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1304</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Совершение операции (сделки) на сумму менее 600 000 рублей либо ее эквивалент в иностранной валюте в случае, когда клиент, его контрагент, представитель клиента, бенефициарный владелец, выгодоприобретатель или участник клиента - юридического лица имеет соответственно регистрацию, место жительства или место нахождения в государстве (на территории), которое (которая) не выполняет рекомендации Группы разработки финансовых мер борьбы с отмыванием денег (ФАТФ), либо с использованием счета в банке, зарегистрированном в указанном государстве (на указанной территории)</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1305</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Совершение операции (сделки) в случае, когда клиент, его контрагент, представитель клиента, бенефициарный владелец, выгодоприобретатель или участник клиента - юридического лица зарегистрирован в государстве (на территории), отнесенном (отнесенной) международными организациями (включая международные неправительственные организации) к государствам (территориям) с повышенным уровнем коррупции и (или) другой преступной деятельности</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1390</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Совершение операции (сделки) в случае, когда клиент, его контрагент, представитель клиента, бенефициарный владелец, выгодоприобретатель или участник клиента зарегистрирован в государстве или на территории, предоставляющем (предоставляющей) льготный режим налогообложения и (или) не предусматривающем (предусматривающей) раскрытия и предоставления информации при проведении финансовых операций (офшорной зоне) либо его счет открыт в банке, зарегистрированном в указанном государстве или на указанной территории</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1399</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Иные признаки, свидетельствующие о возможном осуществлении легализации (отмывания) доходов, полученных преступным путем</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outlineLvl w:val="0"/>
            </w:pPr>
            <w:r w:rsidRPr="00B34D8A">
              <w:rPr>
                <w:sz w:val="22"/>
                <w:szCs w:val="22"/>
              </w:rPr>
              <w:t>14</w:t>
            </w: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Признаки необычных сделок при проведении операций с денежными средствами или иным имуществом в наличной форме и переводов денежных средств</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1404</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Перевод денежных средств на анонимный (номерной) счет (во вклад) за границу и поступление денежных средств с анонимного (номерного) счета (вклада) из-за границы на сумму менее 600 000 рублей либо ее эквивалент в иностранной валюте</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1490</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Настаивание клиента на проведении расчетов наличными денежными средствами</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1491</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Регулярное получение клиентом денежных средств, причитающихся по операции (сделке), в наличной форме по инициативе клиента</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1492</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 xml:space="preserve">Совершение операции (сделки) на сумму, равную или превышающую 600 000 рублей, либо ее эквивалент в иностранной валюте по внесению или выдаче денежных средств в наличной форме, участниками которых являются нерезиденты, имеющие регистрацию, место жительства или место нахождения в </w:t>
            </w:r>
            <w:r w:rsidRPr="00B34D8A">
              <w:rPr>
                <w:sz w:val="22"/>
                <w:szCs w:val="22"/>
              </w:rPr>
              <w:lastRenderedPageBreak/>
              <w:t>государстве Таможенного союза</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1499</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Иные признаки, свидетельствующие о возможном осуществлении легализации (отмывания) доходов, полученных преступным путем</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outlineLvl w:val="0"/>
            </w:pPr>
            <w:r w:rsidRPr="00B34D8A">
              <w:rPr>
                <w:sz w:val="22"/>
                <w:szCs w:val="22"/>
              </w:rPr>
              <w:t>15</w:t>
            </w: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Признаки необычных сделок при проведении операций по договорам займа</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1590</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Предоставление или получение займа, процентная ставка по которому ниже ставки рефинансирования, устанавливаемой Банком России</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1591</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Получение займа от нерезидента и (или) предоставление займа нерезиденту</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1599</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Иные признаки, свидетельствующие о возможном осуществлении легализации (отмывания) доходов, полученных преступным путем</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outlineLvl w:val="0"/>
            </w:pPr>
            <w:r w:rsidRPr="00B34D8A">
              <w:rPr>
                <w:sz w:val="22"/>
                <w:szCs w:val="22"/>
              </w:rPr>
              <w:t>18</w:t>
            </w: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Признаки необычных сделок при проведении международных расчетов</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1802</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Уплата резидентом нерезиденту неустойки (пени, штрафа) за неисполнение договора поставки товаров (выполнения работ, оказания услуг) или за нарушение условий такого договора, если размер неустойки (пени, штрафа) превышает 10 процентов от суммы непоставленных товаров (невыполненных работ, неоказанных услуг)</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1804</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В договоре (контракте) предусмотрены экспорт резидентом товаров (работ, услуг) либо платежи по импорту товаров (работ, услуг) в пользу нерезидента, зарегистрированного в государстве или на территории, предоставляющем (предоставляющей) льготный режим налогообложения и (или) не предусматривающем (предусматривающей) раскрытия и предоставления информации при проведении финансовых операций (офшорной зоне)</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1881</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Получателем денежных средств либо товаров (работ, услуг) является нерезидент, не являющийся стороной по договору (контракту), предусматривающему импорт (экспорт) резидентом товаров (работ, услуг)</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1882</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Перечисление денежных средств в адрес нерезидента по внешнеторговым сделкам, связанным с оказанием информационно-консультативных и маркетинговых услуг, передачей результатов интеллектуальной деятельности, в том числе исключительных прав на них, и других видов услуг нематериального характера</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1899</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Иные признаки, свидетельствующие о возможном осуществлении легализации (отмывания) доходов, полученных преступным путем</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outlineLvl w:val="0"/>
            </w:pPr>
            <w:r w:rsidRPr="00B34D8A">
              <w:rPr>
                <w:sz w:val="22"/>
                <w:szCs w:val="22"/>
              </w:rPr>
              <w:t>19</w:t>
            </w: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Признаки необычных сделок при проведении операций с ценными бумагами и производными финансовыми инструментами</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1990</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Совершение операций с ценными бумагами, не обеспеченными активами своих эмитентов, а также векселями, выданными юридическими лицами, имеющими минимальный уставный капитал, при условии, что период деятельности таких лиц менее одного года с даты государственной регистрации</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1991</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Приобретение физическим лицом ценных бумаг за наличный расчет на сумму, не превышающую 600 000 рублей, либо ее эквивалент в иностранной валюте</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1999</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Иные признаки, свидетельствующие о возможном осуществлении легализации (отмывания) доходов, полученных преступным путем</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outlineLvl w:val="0"/>
            </w:pPr>
            <w:r w:rsidRPr="00B34D8A">
              <w:rPr>
                <w:sz w:val="22"/>
                <w:szCs w:val="22"/>
              </w:rPr>
              <w:t>22</w:t>
            </w: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 xml:space="preserve">Признаки необычных сделок, свидетельствующих о возможном финансировании </w:t>
            </w:r>
            <w:r w:rsidRPr="00B34D8A">
              <w:rPr>
                <w:sz w:val="22"/>
                <w:szCs w:val="22"/>
              </w:rPr>
              <w:lastRenderedPageBreak/>
              <w:t>терроризма</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2201</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0F5C9D">
              <w:rPr>
                <w:sz w:val="22"/>
                <w:szCs w:val="22"/>
                <w:highlight w:val="lightGray"/>
              </w:rPr>
              <w:t xml:space="preserve">Адрес клиента - юридического лица, адрес места жительства или места пребывания клиента - физического лица, а также представителя клиента, бенефициарного владельца, выгодоприобретателя или учредителя клиента - юридического лица совпадает с адресом организации или адресом места регистрации (места пребывания) физического лица, включенных в Перечень организаций и физических лиц, </w:t>
            </w:r>
            <w:r w:rsidRPr="000F5C9D">
              <w:rPr>
                <w:rFonts w:eastAsiaTheme="minorHAnsi"/>
                <w:sz w:val="22"/>
                <w:szCs w:val="22"/>
                <w:highlight w:val="lightGray"/>
                <w:lang w:eastAsia="en-US"/>
              </w:rPr>
              <w:t>либо лица, в отношении которого межведомственным координационным органом, осуществляющим функции по противодействию финансированию терроризма, принято решение о замораживании (блокировании) принадлежащих ему денежных средств или иного имущества</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2202</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Клиент, представитель клиента, бенефициарный владелец, выгодоприобретатель или учредитель клиента - юридического лица является близким родственником лица, включенного в Перечень организаций и физических лиц</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2203</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Операция (сделка) с денежными средствами или иным имуществом, совершенная лицом, вновь включенным в Перечень организаций и физических лиц, в период между днем исключения его из Перечня организаций и физических лиц и днем повторного включения в Перечень организаций и физических лиц</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2204</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Операция (сделка) с денежными средствами или иным имуществом связана с изготовлением, переработкой, транспортировкой, хранением или реализацией ядерных материалов, радиоактивных веществ и отходов, других химических веществ, бактериологических материалов, оружия, боеприпасов, комплектующих к ним, взрывчатых веществ и другой продукции (товаров), запрещенных или ограниченных к свободному обороту, если это не обусловлено хозяйственной деятельностью клиента</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2205</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Операция (сделка) с денежными средствами или иным имуществом связана с приобретением или продажей военного обмундирования, средств связи, лекарственных средств, продуктов длительного хранения, если это не обусловлено хозяйственной деятельностью клиента</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2206</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Операция (сделка) с денежными средствами или иным имуществом при осуществлении внешнеэкономической деятельности связана с приобретением и (или) продажей ядовитых и сильнодействующих веществ, если это не обусловлено хозяйственной деятельностью клиента</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2208</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Операции по расходованию денежных средств российскими общественными организациями и объединениями (религиозными организациями, политическими партиями, организациями, объединениями) и фондами, не соответствующие целям, предусмотренным их уставными (учредительными) документами</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2209</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Операции по расходованию денежных средств российскими филиалами и представительствами иностранных некоммерческих неправительственных организаций, не соответствующие заявленным целям</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0F5C9D" w:rsidRDefault="00597032" w:rsidP="00C942F4">
            <w:pPr>
              <w:autoSpaceDE w:val="0"/>
              <w:autoSpaceDN w:val="0"/>
              <w:adjustRightInd w:val="0"/>
              <w:rPr>
                <w:highlight w:val="lightGray"/>
              </w:rPr>
            </w:pPr>
            <w:r w:rsidRPr="000F5C9D">
              <w:rPr>
                <w:sz w:val="22"/>
                <w:szCs w:val="22"/>
                <w:highlight w:val="lightGray"/>
              </w:rPr>
              <w:t>2210</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0F5C9D" w:rsidRDefault="00597032" w:rsidP="00C942F4">
            <w:pPr>
              <w:autoSpaceDE w:val="0"/>
              <w:autoSpaceDN w:val="0"/>
              <w:adjustRightInd w:val="0"/>
              <w:jc w:val="both"/>
              <w:rPr>
                <w:highlight w:val="lightGray"/>
              </w:rPr>
            </w:pPr>
            <w:r w:rsidRPr="000F5C9D">
              <w:rPr>
                <w:rFonts w:eastAsiaTheme="minorHAnsi"/>
                <w:sz w:val="22"/>
                <w:szCs w:val="22"/>
                <w:highlight w:val="lightGray"/>
                <w:lang w:eastAsia="en-US"/>
              </w:rPr>
              <w:t>Идентификационные данные участника операции совпадают с идентификационными данными физического лица, указанного в запросе уполномоченного органа о представлении дополнительной информации в рамках противодействия финансированию терроризма, в случае указания в таком запросе на необходимость уделять повышенное внимание операциям данного физического лица</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2290</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0F5C9D">
              <w:rPr>
                <w:rFonts w:eastAsiaTheme="minorHAnsi"/>
                <w:sz w:val="22"/>
                <w:szCs w:val="22"/>
                <w:highlight w:val="lightGray"/>
                <w:lang w:eastAsia="en-US"/>
              </w:rPr>
              <w:t xml:space="preserve">Фамилия, имя, отчество, дата и место рождения клиента - физического лица, выгодоприобретателя, бенефициарного владельца, учредителя клиента - </w:t>
            </w:r>
            <w:r w:rsidRPr="000F5C9D">
              <w:rPr>
                <w:rFonts w:eastAsiaTheme="minorHAnsi"/>
                <w:sz w:val="22"/>
                <w:szCs w:val="22"/>
                <w:highlight w:val="lightGray"/>
                <w:lang w:eastAsia="en-US"/>
              </w:rPr>
              <w:lastRenderedPageBreak/>
              <w:t>юридического лица, иностранной структуры без образования юридического лица или участника операции совпадают с фамилией, именем, отчеством, датой и местом рождения физического лица, включенного в Перечень организаций и физических лиц, либо физического лица, в отношении которого межведомственным координационным органом, осуществляющим функции по противодействию финансированию терроризма, принято решение о замораживании (блокировании) принадлежащих ему денежных средств или иного имущества, или лица, операции по банковским счетам (вкладам), а также другие операции с денежными средствами или иным имуществом которого приостановлены на основании решения суда по заявлению уполномоченного органа и при этом отсутствуют иные данные, позволяющие установить его полное совпадение с такими лицами</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2299</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Иные признаки, свидетельствующие о возможном осуществлении финансирования терроризма</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outlineLvl w:val="0"/>
            </w:pPr>
            <w:r w:rsidRPr="00B34D8A">
              <w:rPr>
                <w:sz w:val="22"/>
                <w:szCs w:val="22"/>
              </w:rPr>
              <w:t>32</w:t>
            </w: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Признаки необычных сделок, выявляемые при осуществлении профессиональной деятельности на рынке ценных бумаг, деятельности по управлению инвестиционными фондами или негосударственными пенсионными фондами</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3201</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Внесение клиентом в кассу организации - профессионального участника единовременно или по частям наличных денежных средств на сумму, равную или превышающую 600 000 рублей</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3202</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Совершение профессиональным участником за свой счет или за счет клиента на внебиржевом рынке и/или через организаторов торговли на рынке ценных бумаг (далее - организаторы торговли) на основании двух адресных заявок сделок с ценными бумагами и/или иными финансовыми инструментами на сумму не менее 200 000 рублей каждая, в которых покупатель и продавец действуют в интересах одного и того же выгодоприобретателя</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3203</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Совершение профессиональным участником за свой счет или за счет клиента взаимных сделок, когда стороны таких сделок (профессиональные участники или их клиенты) регулярно меняются, выступая в качестве то продавцов, то покупателей, приобретая/продавая при этом единовременно или по частям одни и те же ценные бумаги и/или иные финансовые инструменты примерно одного и того же объема (в случае совершения взаимных сделок на внебиржевом рынке и/или через организаторов торговли на основании двух адресных заявок)</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3204</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Совершение профессиональным участником за свой счет или за счет клиента сделок по покупке и продаже единовременно или по частям одних и тех же ценных бумаг примерно одного и того же объема в течение одного торгового дня при условии, что цена сделки по продаже ниже или равна цене сделки по покупке, а рыночная цена ценной бумаги по итогам этого же торгового дня не может быть определена</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3205</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Совершение профессиональным участником за свой счет или за счет клиента сделок купли-продажи ценных бумаг и/или иных финансовых инструментов с одним контрагентом, результатом которых является прибыль или убыток соответствующего профессионального участника или его клиента в совокупном размере 200 000 и более рублей (в случае совершения сделок на внебиржевом рынке и/или через организаторов торговли на основании двух адресных заявок)</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3206</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 xml:space="preserve">Совершение профессиональным участником за свой счет или за счет клиента сделки купли-продажи ценных бумаг, не обращающихся через организаторов торговли, по цене, существенно отличающейся от цены хотя бы в одной из сделок по этой ценной бумаге, совершенных профессиональным участником на </w:t>
            </w:r>
            <w:r w:rsidRPr="00B34D8A">
              <w:rPr>
                <w:sz w:val="22"/>
                <w:szCs w:val="22"/>
              </w:rPr>
              <w:lastRenderedPageBreak/>
              <w:t>внебиржевом рынке за последние 30 дней, предшествующих дате заключения рассматриваемой сделки</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3207</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Совершение профессиональным участником за свой счет или за счет клиента сделки купли-продажи ценных бумаг, обращающихся через организаторов торговли, на внебиржевом рынке или через организатора торговли на основании двух адресных заявок по цене, существенно отличающейся от рыночной цены такой ценной бумаги, рассчитанной на конец того торгового дня, в который она была совершена</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3208</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Регулярное совершение операций, связанных с фиксацией прав собственности на ценные бумаги, с одними и теми же ценными бумагами примерно в одном и том же объеме, в которых попеременно одни и те же лица выступают в качестве лиц, их отчуждающих и приобретающих, за исключением биржевых операций и сделок РЕПО</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3209</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Регулярное зачисление на лицевой счет (счет депо) и списание с лицевого счета (счета депо) одних и тех же ценных бумаг примерно в одном и том же объеме (за исключением биржевых операций и сделок РЕПО)</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3210</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Регулярное зачисление на лицевой счет (счет депо) и списание с лицевого счета (счета депо) одного и того же количества одних и тех же ценных бумаг в случае, если их количество на начало и на конец операционного дня одно и то же (за исключением биржевых операций и сделок РЕПО)</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3211</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Перечисление денежных средств клиента на его счет в банке-нерезиденте или по его поручению на счет третьего лица в банке-нерезиденте</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3212</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Осуществление операций, при которых один и тот же финансовый инструмент многократно продается и затем выкупается в сделках с одной и той же стороной</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3213</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Осуществление расчетов между сторонами сделки с финансовыми инструментами с использованием расчетных счетов, открытых в кредитных организациях, зарегистрированных за пределами Российской Федерации</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3214</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Второе и каждое последующее зачисление (списание) акций российского эмитента на сумму, равную или превышающую 600 000 рублей, либо ее эквивалент в иностранной валюте на счет (со счета) депо по сделкам, совершенным за пределами Российской Федерации</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3215</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Второе и каждое последующее зачисление (списание) акций российского эмитента на сумму, равную или превышающую 600 000 рублей, либо ее эквивалент в иностранной валюте на счет (со счета) депо по сделкам, совершенным в рамках обращения акций данного эмитента за пределами Российской Федерации</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3216</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Продажа иностранных ценных бумаг на сумму, равную или превышающую 600 000 рублей, либо ее эквивалент в иностранной валюте в интересах нерезидента в случае, если такие ценные бумаги были зачислены на счет депо, открытый данному нерезиденту, по сделкам, совершенным не на организованных торгах</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3217</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Зачисление (списание) иностранных ценных бумаг на сумму, равную или превышающую 600 000 рублей, либо ее эквивалент в иностранной валюте на счет (со счета), депо, открытый клиенту-нерезиденту</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3218</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Приобретение профессиональным участником на сумму, равную или превышающую 600 000 рублей, либо ее эквивалент в иностранной валюте от своего имени и за свой счет иностранных ценных бумаг у нерезидента</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3219</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Приобретение профессиональным участником на сумму, равную или превышающую 600 000 рублей, либо ее эквивалент в иностранной валюте по поручению клиента от имени и за счет клиента или от своего имени и за счет клиента иностранных ценных бумаг у нерезидента</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3220</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Приобретение профессиональным участником, действующим в рамках договора доверительного управления ценными бумагами, иностранных ценных бумаг на сумму, равную или превышающую 600 000 рублей, либо ее эквивалент в иностранной валюте у нерезидента</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3221</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Приобретение профессиональным участником от своего имени и за свой счет ценных бумаг, допущенных к организованным торгам, на сумму, равную или превышающую 600 000 рублей, либо ее эквивалент в иностранной валюте не на организованных торгах</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3222</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Приобретение профессиональным участником по поручению клиента от имени и за счет клиента или от своего имени и за счет клиента ценных бумаг, допущенных к организованным торгам, на сумму, равную или превышающую 600 000 рублей, либо ее эквивалент в иностранной валюте не на организованных торгах</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3223</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Приобретение профессиональным участником, действующим в рамках договора доверительного управления ценными бумагами, ценных бумаг, допущенных к организованным торгам, на сумму, равную или превышающую 600 000 рублей, либо ее эквивалент в иностранной валюте не на организованных торгах</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3224</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Продажа профессиональным участником в интересах клиента на организованных торгах ценных бумаг на сумму, равную или превышающую 600 000 рублей, либо ее эквивалент в иностранной валюте, если приобретение такого количества ценных бумаг профессиональным участником в интересах этого клиента на организованных торгах не осуществлялось</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3225</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Перевод ценных бумаг со счета депо одного клиента на счет депо другого клиента в случае, если счета депо обоих клиентов открыты в депозитарии профессионального участника, а сам профессиональный участник не является стороной по сделке (в том числе действуя в интересах своего клиента), явившейся основанием для совершения данной операции</w:t>
            </w:r>
            <w:r>
              <w:rPr>
                <w:sz w:val="22"/>
                <w:szCs w:val="22"/>
              </w:rPr>
              <w:t>.</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3226</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Исполнение профессиональным участником, за исключением кредитных организаций, требования клиента по перечислению денежных средств на сумму, равную или превышающую 600 000 рублей, либо ее эквивалент в иностранной валюте третьему лицу, за исключением исполнения требования по перечислению денежных средств на банковский счет другого профессионального участника и (или) клиринговый счет клиринговой организации для учета денежных средств этого клиента</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3227</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Принятие к учету денежных средств клиента, поступивших на банковский счет профессионального участника от третьих лиц, за исключением денежных средств, поступивших с банковского счета другого профессионального участника и (или) клирингового счета клиринговой организации, на котором учитывались денежные средства этого клиента, и денежных средств, поступивших от сделок, совершенных этим профессиональным участником, на сумму, равную или превышающую 600 000 рублей, либо ее эквивалент в иностранной валюте</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3228</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 xml:space="preserve">Продажа ценных бумаг на сумму, равную или превышающую 600 000 рублей, либо ее эквивалент в иностранной валюте профессиональным участником на торгах организаторов торговли на рынке ценных бумаг в интересах клиента-нерезидента в случае, если такие ценные бумаги были переведены на счет депо, </w:t>
            </w:r>
            <w:r w:rsidRPr="00B34D8A">
              <w:rPr>
                <w:sz w:val="22"/>
                <w:szCs w:val="22"/>
              </w:rPr>
              <w:lastRenderedPageBreak/>
              <w:t>открытый этому клиенту-нерезиденту, со счета депо, открытого тем же профессиональным участником, по сделкам, совершенным не на торгах организаторов торговли на рынке ценных бумаг, за исключением маржинальных сделок</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3229</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Продажа ценных бумаг на сумму, равную или превышающую 600 000 рублей, либо ее эквивалент в иностранной валюте профессиональным участником на торгах организаторов торговли на рынке ценных бумаг в интересах клиента-нерезидента, поступивших на счет депо, открытый этому клиенту-нерезиденту, со счета, открытого в ином профессиональном участнике</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3230</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Возврат профессиональному участнику клиентом-нерезидентом занятых в рамках маржинальных сделок ценных бумаг на сумму, равную или превышающую 600 000 рублей, либо ее эквивалент в иностранной валюте в случае, если возврат осуществляется ценными бумагами, полученными по сделкам, совершенным не на торгах организаторов торговли на рынке ценных бумаг</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3231</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Второе и каждое последующее зачисление (списание) ценных бумаг, допущенных к торгам на фондовых биржах и (или) иных организаторах торговли на рынке ценных бумаг, на сумму, равную или превышающую 600 000 рублей, либо ее эквивалент в иностранной валюте на счет (со счета) депо, открытый клиенту-нерезиденту, по сделкам, совершенным не на торгах организаторов торговли на рынке ценных бумаг, за исключением зачисления (списания) на счет (со счета) депо акций российского эмитента, связанного с их обращением за пределами Российской Федерации посредством размещения и обращения иностранных ценных бумаг, а также сделок РЕПО</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3232</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Перевод ценных бумаг, учитываемых в российском депозитарии, со счета депо клиента - резидента на учет в иностранный депозитарий в случае, если такие ценные бумаги были зачислены на счет депо в российском депозитарии по сделкам, совершенным не на организованных торгах</w:t>
            </w:r>
          </w:p>
        </w:tc>
      </w:tr>
      <w:tr w:rsidR="00597032" w:rsidRPr="00B34D8A" w:rsidTr="00C942F4">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p>
        </w:tc>
        <w:tc>
          <w:tcPr>
            <w:tcW w:w="1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pPr>
            <w:r w:rsidRPr="00B34D8A">
              <w:rPr>
                <w:sz w:val="22"/>
                <w:szCs w:val="22"/>
              </w:rPr>
              <w:t>3299</w:t>
            </w:r>
          </w:p>
        </w:tc>
        <w:tc>
          <w:tcPr>
            <w:tcW w:w="7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97032" w:rsidRPr="00B34D8A" w:rsidRDefault="00597032" w:rsidP="00C942F4">
            <w:pPr>
              <w:autoSpaceDE w:val="0"/>
              <w:autoSpaceDN w:val="0"/>
              <w:adjustRightInd w:val="0"/>
              <w:jc w:val="both"/>
            </w:pPr>
            <w:r w:rsidRPr="00B34D8A">
              <w:rPr>
                <w:sz w:val="22"/>
                <w:szCs w:val="22"/>
              </w:rPr>
              <w:t>Иные признаки, свидетельствующие о возможном осуществлении легализации (отмывания) доходов, полученных преступным путем</w:t>
            </w:r>
          </w:p>
        </w:tc>
      </w:tr>
    </w:tbl>
    <w:p w:rsidR="00597032" w:rsidRPr="00597032" w:rsidRDefault="00597032" w:rsidP="001F39A1">
      <w:pPr>
        <w:autoSpaceDE w:val="0"/>
        <w:autoSpaceDN w:val="0"/>
        <w:adjustRightInd w:val="0"/>
        <w:jc w:val="center"/>
        <w:rPr>
          <w:sz w:val="22"/>
          <w:szCs w:val="22"/>
        </w:rPr>
      </w:pPr>
    </w:p>
    <w:p w:rsidR="00597032" w:rsidRPr="00B34D8A" w:rsidRDefault="00597032" w:rsidP="001F39A1">
      <w:pPr>
        <w:autoSpaceDE w:val="0"/>
        <w:autoSpaceDN w:val="0"/>
        <w:adjustRightInd w:val="0"/>
        <w:jc w:val="center"/>
        <w:rPr>
          <w:b/>
          <w:sz w:val="22"/>
          <w:szCs w:val="22"/>
        </w:rPr>
      </w:pPr>
    </w:p>
    <w:p w:rsidR="001F39A1" w:rsidRPr="00B34D8A" w:rsidRDefault="001F39A1" w:rsidP="001F39A1">
      <w:pPr>
        <w:autoSpaceDE w:val="0"/>
        <w:autoSpaceDN w:val="0"/>
        <w:adjustRightInd w:val="0"/>
        <w:ind w:firstLine="540"/>
        <w:jc w:val="both"/>
        <w:outlineLvl w:val="0"/>
        <w:rPr>
          <w:sz w:val="22"/>
          <w:szCs w:val="22"/>
        </w:rPr>
      </w:pPr>
    </w:p>
    <w:p w:rsidR="001F39A1" w:rsidRPr="00B34D8A" w:rsidRDefault="001F39A1"/>
    <w:sectPr w:rsidR="001F39A1" w:rsidRPr="00B34D8A" w:rsidSect="009F0F6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E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compat/>
  <w:rsids>
    <w:rsidRoot w:val="001F39A1"/>
    <w:rsid w:val="001F39A1"/>
    <w:rsid w:val="002640FE"/>
    <w:rsid w:val="002866C6"/>
    <w:rsid w:val="002C1290"/>
    <w:rsid w:val="00597032"/>
    <w:rsid w:val="005E180C"/>
    <w:rsid w:val="00605593"/>
    <w:rsid w:val="00644369"/>
    <w:rsid w:val="00647876"/>
    <w:rsid w:val="00650601"/>
    <w:rsid w:val="006B0090"/>
    <w:rsid w:val="007F49DF"/>
    <w:rsid w:val="009D3A95"/>
    <w:rsid w:val="009F0F65"/>
    <w:rsid w:val="00B34D8A"/>
    <w:rsid w:val="00BA3541"/>
    <w:rsid w:val="00E46F7F"/>
    <w:rsid w:val="00E95B8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39A1"/>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1"/>
    <w:uiPriority w:val="99"/>
    <w:qFormat/>
    <w:rsid w:val="001F39A1"/>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1F39A1"/>
    <w:rPr>
      <w:rFonts w:asciiTheme="majorHAnsi" w:eastAsiaTheme="majorEastAsia" w:hAnsiTheme="majorHAnsi" w:cstheme="majorBidi"/>
      <w:b/>
      <w:bCs/>
      <w:color w:val="4F81BD" w:themeColor="accent1"/>
      <w:sz w:val="26"/>
      <w:szCs w:val="26"/>
      <w:lang w:eastAsia="ru-RU"/>
    </w:rPr>
  </w:style>
  <w:style w:type="character" w:customStyle="1" w:styleId="21">
    <w:name w:val="Заголовок 2 Знак1"/>
    <w:basedOn w:val="a0"/>
    <w:link w:val="2"/>
    <w:uiPriority w:val="99"/>
    <w:locked/>
    <w:rsid w:val="001F39A1"/>
    <w:rPr>
      <w:rFonts w:ascii="Arial" w:eastAsia="Times New Roman" w:hAnsi="Arial" w:cs="Arial"/>
      <w:b/>
      <w:bCs/>
      <w:i/>
      <w:iCs/>
      <w:sz w:val="28"/>
      <w:szCs w:val="28"/>
      <w:lang w:eastAsia="ru-RU"/>
    </w:rPr>
  </w:style>
  <w:style w:type="paragraph" w:styleId="a3">
    <w:name w:val="List Paragraph"/>
    <w:basedOn w:val="a"/>
    <w:uiPriority w:val="34"/>
    <w:qFormat/>
    <w:rsid w:val="001F39A1"/>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4F0500DF268A72F989EE5492D8E75ED7FDE28741DA69A5B3C194C17DAB34AF5BEED501AF5S569N" TargetMode="External"/><Relationship Id="rId3" Type="http://schemas.openxmlformats.org/officeDocument/2006/relationships/webSettings" Target="webSettings.xml"/><Relationship Id="rId7" Type="http://schemas.openxmlformats.org/officeDocument/2006/relationships/hyperlink" Target="consultantplus://offline/ref=C4F0500DF268A72F989EE5492D8E75ED7FDE28741DA69A5B3C194C17DAB34AF5BEED501AF45E1E8FS66DN"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C4F0500DF268A72F989EE5492D8E75ED7FDE28741DA69A5B3C194C17DAB34AF5BEED501AF45E1E8AS66EN" TargetMode="External"/><Relationship Id="rId11" Type="http://schemas.openxmlformats.org/officeDocument/2006/relationships/fontTable" Target="fontTable.xml"/><Relationship Id="rId5" Type="http://schemas.openxmlformats.org/officeDocument/2006/relationships/hyperlink" Target="consultantplus://offline/ref=C4F0500DF268A72F989EE5492D8E75ED7FDE28741DA69A5B3C194C17DAB34AF5BEED501AF45E1E8AS66EN" TargetMode="External"/><Relationship Id="rId10" Type="http://schemas.openxmlformats.org/officeDocument/2006/relationships/hyperlink" Target="consultantplus://offline/ref=C4F0500DF268A72F989EE5492D8E75ED78DD237416A4C75134404015SD6DN" TargetMode="External"/><Relationship Id="rId4" Type="http://schemas.openxmlformats.org/officeDocument/2006/relationships/hyperlink" Target="consultantplus://offline/ref=C4F0500DF268A72F989EE5492D8E75ED7FDE28741DA69A5B3C194C17DASB63N" TargetMode="External"/><Relationship Id="rId9" Type="http://schemas.openxmlformats.org/officeDocument/2006/relationships/hyperlink" Target="consultantplus://offline/ref=C4F0500DF268A72F989EE5492D8E75ED7FDE2E7F17AD9A5B3C194C17DAB34AF5BEED501AF45E1B8DS66F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4958</Words>
  <Characters>28264</Characters>
  <Application>Microsoft Office Word</Application>
  <DocSecurity>0</DocSecurity>
  <Lines>235</Lines>
  <Paragraphs>66</Paragraphs>
  <ScaleCrop>false</ScaleCrop>
  <Company>NAUFOR</Company>
  <LinksUpToDate>false</LinksUpToDate>
  <CharactersWithSpaces>33156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akinfeeva</dc:creator>
  <cp:lastModifiedBy>mironova</cp:lastModifiedBy>
  <cp:revision>2</cp:revision>
  <dcterms:created xsi:type="dcterms:W3CDTF">2017-01-12T14:44:00Z</dcterms:created>
  <dcterms:modified xsi:type="dcterms:W3CDTF">2017-01-12T14:44:00Z</dcterms:modified>
</cp:coreProperties>
</file>