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Borders>
          <w:insideH w:val="single" w:sz="12" w:space="0" w:color="000000"/>
        </w:tblBorders>
        <w:tblLayout w:type="fixed"/>
        <w:tblCellMar>
          <w:top w:w="113" w:type="dxa"/>
          <w:bottom w:w="113" w:type="dxa"/>
        </w:tblCellMar>
        <w:tblLook w:val="04A0"/>
      </w:tblPr>
      <w:tblGrid>
        <w:gridCol w:w="817"/>
        <w:gridCol w:w="1701"/>
        <w:gridCol w:w="7031"/>
      </w:tblGrid>
      <w:tr w:rsidR="00F06B76" w:rsidRPr="007B4817" w:rsidTr="00461868">
        <w:tc>
          <w:tcPr>
            <w:tcW w:w="817" w:type="dxa"/>
          </w:tcPr>
          <w:p w:rsidR="00F06B76" w:rsidRPr="007459D2" w:rsidRDefault="00F06B76" w:rsidP="00461868">
            <w:pPr>
              <w:spacing w:after="100" w:afterAutospacing="1"/>
              <w:jc w:val="both"/>
              <w:rPr>
                <w:i/>
              </w:rPr>
            </w:pPr>
            <w:r>
              <w:rPr>
                <w:i/>
              </w:rPr>
              <w:t>П</w:t>
            </w:r>
            <w:r w:rsidRPr="007459D2">
              <w:rPr>
                <w:i/>
              </w:rPr>
              <w:t>.</w:t>
            </w:r>
            <w:r>
              <w:rPr>
                <w:i/>
              </w:rPr>
              <w:t>1</w:t>
            </w:r>
          </w:p>
        </w:tc>
        <w:tc>
          <w:tcPr>
            <w:tcW w:w="1701" w:type="dxa"/>
          </w:tcPr>
          <w:p w:rsidR="00F06B76" w:rsidRPr="007459D2" w:rsidRDefault="00F06B76" w:rsidP="00461868">
            <w:pPr>
              <w:spacing w:after="100" w:afterAutospacing="1"/>
              <w:rPr>
                <w:i/>
              </w:rPr>
            </w:pPr>
            <w:r>
              <w:rPr>
                <w:i/>
              </w:rPr>
              <w:t>Приложение</w:t>
            </w:r>
          </w:p>
        </w:tc>
        <w:tc>
          <w:tcPr>
            <w:tcW w:w="7031" w:type="dxa"/>
          </w:tcPr>
          <w:p w:rsidR="00F06B76" w:rsidRPr="00EC5F6C" w:rsidRDefault="00F06B76" w:rsidP="00461868">
            <w:pPr>
              <w:spacing w:after="100" w:afterAutospacing="1"/>
              <w:jc w:val="center"/>
            </w:pPr>
            <w:r>
              <w:t>К</w:t>
            </w:r>
            <w:r w:rsidRPr="00EC5F6C">
              <w:t>лассификация источников операционного риска</w:t>
            </w:r>
          </w:p>
          <w:tbl>
            <w:tblPr>
              <w:tblW w:w="6663" w:type="dxa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26"/>
              <w:gridCol w:w="1275"/>
              <w:gridCol w:w="3624"/>
              <w:gridCol w:w="1338"/>
            </w:tblGrid>
            <w:tr w:rsidR="00F06B76" w:rsidRPr="00EC5F6C" w:rsidTr="00461868">
              <w:tc>
                <w:tcPr>
                  <w:tcW w:w="426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№</w:t>
                  </w:r>
                </w:p>
              </w:tc>
              <w:tc>
                <w:tcPr>
                  <w:tcW w:w="127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Наименование источника</w:t>
                  </w:r>
                </w:p>
              </w:tc>
              <w:tc>
                <w:tcPr>
                  <w:tcW w:w="3624" w:type="dxa"/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Краткое описание</w:t>
                  </w:r>
                </w:p>
              </w:tc>
              <w:tc>
                <w:tcPr>
                  <w:tcW w:w="1338" w:type="dxa"/>
                  <w:tcBorders>
                    <w:bottom w:val="nil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F06B76" w:rsidRPr="00EC5F6C" w:rsidTr="00461868">
              <w:trPr>
                <w:cantSplit/>
              </w:trPr>
              <w:tc>
                <w:tcPr>
                  <w:tcW w:w="426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Персонал</w:t>
                  </w:r>
                </w:p>
              </w:tc>
              <w:tc>
                <w:tcPr>
                  <w:tcW w:w="3624" w:type="dxa"/>
                  <w:tcBorders>
                    <w:right w:val="nil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Исполнительные органы и работники (сотрудники) члена НАУФОР, а также иные лица, находящиеся в помещениях члена НАУФОР, например, студенты, проходящие практику, выездные агенты по продажам и т.п.</w:t>
                  </w:r>
                </w:p>
              </w:tc>
              <w:tc>
                <w:tcPr>
                  <w:tcW w:w="13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Внутренние источники</w:t>
                  </w:r>
                </w:p>
              </w:tc>
            </w:tr>
            <w:tr w:rsidR="00F06B76" w:rsidRPr="00EC5F6C" w:rsidTr="00461868">
              <w:trPr>
                <w:cantSplit/>
              </w:trPr>
              <w:tc>
                <w:tcPr>
                  <w:tcW w:w="426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Процесс</w:t>
                  </w:r>
                </w:p>
              </w:tc>
              <w:tc>
                <w:tcPr>
                  <w:tcW w:w="3624" w:type="dxa"/>
                  <w:tcBorders>
                    <w:right w:val="nil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Совокупность последовательных взаимоувязанных действий для достижения определенных результатов</w:t>
                  </w:r>
                </w:p>
              </w:tc>
              <w:tc>
                <w:tcPr>
                  <w:tcW w:w="133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F06B76" w:rsidRPr="00EC5F6C" w:rsidTr="00461868">
              <w:trPr>
                <w:cantSplit/>
              </w:trPr>
              <w:tc>
                <w:tcPr>
                  <w:tcW w:w="426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Система</w:t>
                  </w:r>
                </w:p>
              </w:tc>
              <w:tc>
                <w:tcPr>
                  <w:tcW w:w="3624" w:type="dxa"/>
                  <w:tcBorders>
                    <w:right w:val="nil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Совокупность сложных технических и/или программных устройств (средств), объединенных общей целью функционирования</w:t>
                  </w:r>
                </w:p>
              </w:tc>
              <w:tc>
                <w:tcPr>
                  <w:tcW w:w="133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</w:p>
              </w:tc>
            </w:tr>
            <w:tr w:rsidR="00F06B76" w:rsidRPr="00EC5F6C" w:rsidTr="00461868">
              <w:tc>
                <w:tcPr>
                  <w:tcW w:w="426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Событие</w:t>
                  </w:r>
                </w:p>
              </w:tc>
              <w:tc>
                <w:tcPr>
                  <w:tcW w:w="3624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События и действия, с которыми связано возникновение</w:t>
                  </w:r>
                  <w:r>
                    <w:rPr>
                      <w:rFonts w:cs="Calibri"/>
                    </w:rPr>
                    <w:t xml:space="preserve"> </w:t>
                  </w:r>
                  <w:r w:rsidRPr="00EC5F6C">
                    <w:rPr>
                      <w:rFonts w:cs="Calibri"/>
                    </w:rPr>
                    <w:t xml:space="preserve">последствий, приводящих к нарушениям (сбоям), изменениям или прекращению (остановке) процессов и/или систем </w:t>
                  </w:r>
                </w:p>
              </w:tc>
              <w:tc>
                <w:tcPr>
                  <w:tcW w:w="1338" w:type="dxa"/>
                  <w:tcBorders>
                    <w:top w:val="nil"/>
                  </w:tcBorders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Внешние источники</w:t>
                  </w:r>
                </w:p>
              </w:tc>
            </w:tr>
          </w:tbl>
          <w:p w:rsidR="00F06B76" w:rsidRPr="00EC5F6C" w:rsidRDefault="00F06B76" w:rsidP="00461868">
            <w:pPr>
              <w:spacing w:after="100" w:afterAutospacing="1" w:line="240" w:lineRule="auto"/>
            </w:pPr>
          </w:p>
          <w:p w:rsidR="00F06B76" w:rsidRPr="00EC5F6C" w:rsidRDefault="00F06B76" w:rsidP="00461868">
            <w:pPr>
              <w:spacing w:after="100" w:afterAutospacing="1" w:line="240" w:lineRule="auto"/>
              <w:jc w:val="center"/>
            </w:pPr>
            <w:r>
              <w:t>К</w:t>
            </w:r>
            <w:r w:rsidRPr="00EC5F6C">
              <w:t>лассификация типов операционного риска</w:t>
            </w:r>
          </w:p>
          <w:tbl>
            <w:tblPr>
              <w:tblW w:w="6662" w:type="dxa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25"/>
              <w:gridCol w:w="1559"/>
              <w:gridCol w:w="2835"/>
              <w:gridCol w:w="1843"/>
            </w:tblGrid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№</w:t>
                  </w:r>
                </w:p>
              </w:tc>
              <w:tc>
                <w:tcPr>
                  <w:tcW w:w="1559" w:type="dxa"/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proofErr w:type="spellStart"/>
                  <w:proofErr w:type="gramStart"/>
                  <w:r w:rsidRPr="00EC5F6C">
                    <w:rPr>
                      <w:rFonts w:cs="Calibri"/>
                      <w:b/>
                    </w:rPr>
                    <w:t>Наименова</w:t>
                  </w:r>
                  <w:r>
                    <w:rPr>
                      <w:rFonts w:cs="Calibri"/>
                      <w:b/>
                    </w:rPr>
                    <w:t>-</w:t>
                  </w:r>
                  <w:r w:rsidRPr="00EC5F6C">
                    <w:rPr>
                      <w:rFonts w:cs="Calibri"/>
                      <w:b/>
                    </w:rPr>
                    <w:t>ние</w:t>
                  </w:r>
                  <w:proofErr w:type="spellEnd"/>
                  <w:proofErr w:type="gramEnd"/>
                  <w:r w:rsidRPr="00EC5F6C">
                    <w:rPr>
                      <w:rFonts w:cs="Calibri"/>
                      <w:b/>
                    </w:rPr>
                    <w:t xml:space="preserve"> типа</w:t>
                  </w:r>
                </w:p>
              </w:tc>
              <w:tc>
                <w:tcPr>
                  <w:tcW w:w="2835" w:type="dxa"/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Краткое описание</w:t>
                  </w:r>
                </w:p>
              </w:tc>
              <w:tc>
                <w:tcPr>
                  <w:tcW w:w="1843" w:type="dxa"/>
                  <w:vAlign w:val="center"/>
                </w:tcPr>
                <w:p w:rsidR="00F06B76" w:rsidRPr="00EC5F6C" w:rsidRDefault="00F06B76" w:rsidP="00461868">
                  <w:pPr>
                    <w:spacing w:line="240" w:lineRule="auto"/>
                    <w:jc w:val="center"/>
                    <w:rPr>
                      <w:rFonts w:cs="Calibri"/>
                      <w:b/>
                    </w:rPr>
                  </w:pPr>
                  <w:r w:rsidRPr="00EC5F6C">
                    <w:rPr>
                      <w:rFonts w:cs="Calibri"/>
                      <w:b/>
                    </w:rPr>
                    <w:t>Основные показатели (ключевые индикаторы) риска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Внутреннее мошенничество и злоупотребление служебным положением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 xml:space="preserve">Умышленные действия, направленные на осуществление мошенничества, незаконное приобретение имущества или обогащение путем несоблюдения требований законодательства или внутренних документов члена НАУФОР, с участием, как минимум, одного сотрудника (работника) </w:t>
                  </w:r>
                  <w:r w:rsidRPr="00EC5F6C">
                    <w:rPr>
                      <w:rFonts w:cs="Calibri"/>
                    </w:rPr>
                    <w:lastRenderedPageBreak/>
                    <w:t>члена НАУФОР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lastRenderedPageBreak/>
                    <w:t>Текучесть персонала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lastRenderedPageBreak/>
                    <w:t>2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Внешнее мошенничество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Умышленные действия, направленные на осуществление</w:t>
                  </w:r>
                  <w:r>
                    <w:rPr>
                      <w:rFonts w:cs="Calibri"/>
                    </w:rPr>
                    <w:t xml:space="preserve"> </w:t>
                  </w:r>
                  <w:r w:rsidRPr="00EC5F6C">
                    <w:rPr>
                      <w:rFonts w:cs="Calibri"/>
                    </w:rPr>
                    <w:t>мошенничества, незаконное приобретение имущества или обогащение путем несоблюдения требований законодательства или внутренних документов члена НАУФОР, с участием сторонних лиц.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операций, платежей и расчетов.</w:t>
                  </w:r>
                </w:p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клиентов и контрагентов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Трудовые отношения и безопасность рабочих мест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Нарушения законодательства о труде, безопасности труда и охране здоровья, а также различные виды дискриминации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сотрудников (работников)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Ошибки профессиональной деятельности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 xml:space="preserve">Халатность и упущения при осуществлении профессиональных обязанностей в отношении клиентов и контрагентов 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клиентов и контрагентов.</w:t>
                  </w:r>
                </w:p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операций, платежей и расчетов.</w:t>
                  </w:r>
                </w:p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5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  <w:lang w:val="en-US"/>
                    </w:rPr>
                  </w:pPr>
                  <w:r w:rsidRPr="00EC5F6C">
                    <w:rPr>
                      <w:rFonts w:cs="Calibri"/>
                    </w:rPr>
                    <w:t>Физическое уничтожение имущества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 xml:space="preserve">Причинение ущерба имуществу члена НАУФОР и (или) клиентов вследствие различных причин 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единиц имущества (собственного/клиентского)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Приостановление процессов и ошибки систем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Нарушения нормального режима работы и сбои вычислительных, телекоммуникационных, обеспечивающих</w:t>
                  </w:r>
                  <w:r>
                    <w:rPr>
                      <w:rFonts w:cs="Calibri"/>
                    </w:rPr>
                    <w:t xml:space="preserve"> </w:t>
                  </w:r>
                  <w:r w:rsidRPr="00EC5F6C">
                    <w:rPr>
                      <w:rFonts w:cs="Calibri"/>
                    </w:rPr>
                    <w:t>систем, а также программного обеспечения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операций, платежей и расчетов.</w:t>
                  </w:r>
                </w:p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Количество единиц вычислительной техники, телекоммуникационных систем, программных продуктов</w:t>
                  </w:r>
                </w:p>
              </w:tc>
            </w:tr>
            <w:tr w:rsidR="00F06B76" w:rsidRPr="00EC5F6C" w:rsidTr="00461868">
              <w:tc>
                <w:tcPr>
                  <w:tcW w:w="425" w:type="dxa"/>
                </w:tcPr>
                <w:p w:rsidR="00F06B76" w:rsidRPr="00EC5F6C" w:rsidRDefault="00F06B76" w:rsidP="00461868">
                  <w:pPr>
                    <w:spacing w:line="240" w:lineRule="auto"/>
                    <w:jc w:val="both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7</w:t>
                  </w:r>
                </w:p>
              </w:tc>
              <w:tc>
                <w:tcPr>
                  <w:tcW w:w="1559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t>Нарушения в бизнес-</w:t>
                  </w:r>
                  <w:r w:rsidRPr="00EC5F6C">
                    <w:rPr>
                      <w:rFonts w:cs="Calibri"/>
                    </w:rPr>
                    <w:lastRenderedPageBreak/>
                    <w:t>процессах</w:t>
                  </w:r>
                </w:p>
              </w:tc>
              <w:tc>
                <w:tcPr>
                  <w:tcW w:w="2835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lastRenderedPageBreak/>
                    <w:t xml:space="preserve">Ошибки в деятельности вследствие несовершенства структуры </w:t>
                  </w:r>
                  <w:r w:rsidRPr="00EC5F6C">
                    <w:rPr>
                      <w:rFonts w:cs="Calibri"/>
                    </w:rPr>
                    <w:lastRenderedPageBreak/>
                    <w:t>корпоративного управления члена НАУФОР и бизнес-процессов</w:t>
                  </w:r>
                </w:p>
              </w:tc>
              <w:tc>
                <w:tcPr>
                  <w:tcW w:w="1843" w:type="dxa"/>
                </w:tcPr>
                <w:p w:rsidR="00F06B76" w:rsidRPr="00EC5F6C" w:rsidRDefault="00F06B76" w:rsidP="00461868">
                  <w:pPr>
                    <w:spacing w:line="240" w:lineRule="auto"/>
                    <w:rPr>
                      <w:rFonts w:cs="Calibri"/>
                    </w:rPr>
                  </w:pPr>
                  <w:r w:rsidRPr="00EC5F6C">
                    <w:rPr>
                      <w:rFonts w:cs="Calibri"/>
                    </w:rPr>
                    <w:lastRenderedPageBreak/>
                    <w:t xml:space="preserve">Количество предлагаемых продуктов </w:t>
                  </w:r>
                  <w:r w:rsidRPr="00EC5F6C">
                    <w:rPr>
                      <w:rFonts w:cs="Calibri"/>
                    </w:rPr>
                    <w:lastRenderedPageBreak/>
                    <w:t>(услуг)</w:t>
                  </w:r>
                </w:p>
              </w:tc>
            </w:tr>
          </w:tbl>
          <w:p w:rsidR="00F06B76" w:rsidRDefault="00F06B76" w:rsidP="00461868">
            <w:pPr>
              <w:spacing w:after="100" w:afterAutospacing="1"/>
            </w:pPr>
          </w:p>
          <w:p w:rsidR="00F06B76" w:rsidRPr="007B4817" w:rsidRDefault="00F06B76" w:rsidP="00461868">
            <w:pPr>
              <w:spacing w:after="100" w:afterAutospacing="1"/>
            </w:pPr>
          </w:p>
        </w:tc>
      </w:tr>
    </w:tbl>
    <w:p w:rsidR="00F06B76" w:rsidRPr="00EC5F6C" w:rsidRDefault="00F06B76" w:rsidP="00F06B76"/>
    <w:p w:rsidR="00B60EF0" w:rsidRDefault="00B60EF0"/>
    <w:sectPr w:rsidR="00B60EF0" w:rsidSect="00A3553D">
      <w:footnotePr>
        <w:numFmt w:val="chicago"/>
      </w:footnotePr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numFmt w:val="chicago"/>
  </w:footnotePr>
  <w:compat/>
  <w:rsids>
    <w:rsidRoot w:val="00F06B76"/>
    <w:rsid w:val="003D1243"/>
    <w:rsid w:val="00B60EF0"/>
    <w:rsid w:val="00BF556F"/>
    <w:rsid w:val="00F06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B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1</cp:revision>
  <dcterms:created xsi:type="dcterms:W3CDTF">2017-08-09T13:28:00Z</dcterms:created>
  <dcterms:modified xsi:type="dcterms:W3CDTF">2017-08-09T13:29:00Z</dcterms:modified>
</cp:coreProperties>
</file>