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58" w:rsidRDefault="00137F58" w:rsidP="00137F58">
      <w:pPr>
        <w:jc w:val="center"/>
        <w:rPr>
          <w:b/>
          <w:sz w:val="28"/>
          <w:szCs w:val="28"/>
        </w:rPr>
      </w:pPr>
      <w:r w:rsidRPr="00137F58">
        <w:rPr>
          <w:b/>
          <w:sz w:val="28"/>
          <w:szCs w:val="28"/>
        </w:rPr>
        <w:t xml:space="preserve">Изменения и дополнения </w:t>
      </w:r>
    </w:p>
    <w:p w:rsidR="00137F58" w:rsidRDefault="00137F58" w:rsidP="00137F58">
      <w:pPr>
        <w:jc w:val="center"/>
        <w:rPr>
          <w:b/>
          <w:sz w:val="28"/>
          <w:szCs w:val="28"/>
        </w:rPr>
      </w:pPr>
      <w:r w:rsidRPr="00137F58">
        <w:rPr>
          <w:b/>
          <w:sz w:val="28"/>
          <w:szCs w:val="28"/>
        </w:rPr>
        <w:t>в текст Стандарта НАУФОР порядка определения стоимости чистых активов паевого инвестиционного фонда и стоимости инвестиционного пая</w:t>
      </w:r>
    </w:p>
    <w:p w:rsidR="00137F58" w:rsidRPr="00137F58" w:rsidRDefault="00137F58" w:rsidP="00137F58">
      <w:pPr>
        <w:jc w:val="center"/>
        <w:rPr>
          <w:b/>
          <w:sz w:val="28"/>
          <w:szCs w:val="28"/>
        </w:rPr>
      </w:pPr>
      <w:r w:rsidRPr="00137F58">
        <w:rPr>
          <w:b/>
          <w:sz w:val="28"/>
          <w:szCs w:val="28"/>
        </w:rPr>
        <w:t xml:space="preserve"> (далее – Стандарт</w:t>
      </w:r>
      <w:r>
        <w:rPr>
          <w:b/>
          <w:sz w:val="28"/>
          <w:szCs w:val="28"/>
        </w:rPr>
        <w:t>)</w:t>
      </w:r>
    </w:p>
    <w:p w:rsidR="00137F58" w:rsidRPr="00AF3024" w:rsidRDefault="00137F58" w:rsidP="00137F58">
      <w:pPr>
        <w:jc w:val="both"/>
        <w:rPr>
          <w:sz w:val="24"/>
          <w:szCs w:val="24"/>
        </w:rPr>
      </w:pPr>
    </w:p>
    <w:p w:rsidR="00137F58" w:rsidRDefault="00137F58"/>
    <w:tbl>
      <w:tblPr>
        <w:tblpPr w:leftFromText="180" w:rightFromText="180" w:vertAnchor="text" w:tblpY="1"/>
        <w:tblOverlap w:val="never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2"/>
        <w:gridCol w:w="7163"/>
      </w:tblGrid>
      <w:tr w:rsidR="00832901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1" w:rsidRPr="00BA31D9" w:rsidRDefault="00832901" w:rsidP="00BA31D9">
            <w:pPr>
              <w:pStyle w:val="30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31D9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1" w:rsidRPr="00BA31D9" w:rsidRDefault="00832901" w:rsidP="00BA31D9">
            <w:pPr>
              <w:pStyle w:val="30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31D9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832901" w:rsidRPr="00BA31D9" w:rsidTr="00AF3024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01" w:rsidRPr="00BA31D9" w:rsidRDefault="00341AB0" w:rsidP="00BA31D9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BA31D9">
              <w:rPr>
                <w:b/>
                <w:bCs/>
                <w:sz w:val="24"/>
                <w:szCs w:val="24"/>
              </w:rPr>
              <w:t>Изменить п. 2.3.4</w:t>
            </w:r>
            <w:r w:rsidR="00AF3024" w:rsidRPr="00BA31D9">
              <w:rPr>
                <w:b/>
                <w:bCs/>
                <w:sz w:val="24"/>
                <w:szCs w:val="24"/>
              </w:rPr>
              <w:t>.</w:t>
            </w:r>
            <w:r w:rsidRPr="00BA31D9">
              <w:rPr>
                <w:b/>
                <w:bCs/>
                <w:sz w:val="24"/>
                <w:szCs w:val="24"/>
              </w:rPr>
              <w:t xml:space="preserve"> Стандарта</w:t>
            </w:r>
          </w:p>
        </w:tc>
      </w:tr>
      <w:tr w:rsidR="00832901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0" w:rsidRPr="00BA31D9" w:rsidRDefault="00341AB0" w:rsidP="00BA31D9">
            <w:pPr>
              <w:pStyle w:val="10"/>
              <w:tabs>
                <w:tab w:val="left" w:pos="993"/>
              </w:tabs>
              <w:ind w:left="0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 xml:space="preserve">2.3.4. Справедливая стоимость прочей дебиторской задолженности определяется: 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1"/>
              </w:numPr>
              <w:tabs>
                <w:tab w:val="left" w:pos="885"/>
              </w:tabs>
              <w:ind w:left="459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в сумме остатка задолженности на дату определения СЧА: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2"/>
              </w:numPr>
              <w:tabs>
                <w:tab w:val="left" w:pos="885"/>
              </w:tabs>
              <w:ind w:left="459"/>
              <w:jc w:val="both"/>
              <w:rPr>
                <w:rFonts w:eastAsia="Batang"/>
                <w:strike/>
                <w:szCs w:val="24"/>
              </w:rPr>
            </w:pPr>
            <w:r w:rsidRPr="00BA31D9">
              <w:rPr>
                <w:rFonts w:eastAsia="Batang"/>
                <w:strike/>
                <w:szCs w:val="24"/>
              </w:rPr>
              <w:t>если договором предусмотрено полное погашение задолженности в течение 1 года с момента ее признания до истечения срока полного погашения;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2"/>
              </w:numPr>
              <w:tabs>
                <w:tab w:val="left" w:pos="885"/>
              </w:tabs>
              <w:ind w:left="459"/>
              <w:jc w:val="both"/>
              <w:rPr>
                <w:rFonts w:eastAsia="Batang"/>
                <w:strike/>
                <w:szCs w:val="24"/>
              </w:rPr>
            </w:pPr>
            <w:r w:rsidRPr="00BA31D9">
              <w:rPr>
                <w:rFonts w:eastAsia="Batang"/>
                <w:strike/>
                <w:szCs w:val="24"/>
              </w:rPr>
              <w:t>для авансов, выданных за счет имущества ПИФ, если договором предусмотрено полное погашение задолженности в течение _____________ (срок определяется в Правилах определения СЧА, но не более 1 года) с момента ее признания до истечения срока полного погашения;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2"/>
              </w:numPr>
              <w:tabs>
                <w:tab w:val="left" w:pos="885"/>
              </w:tabs>
              <w:ind w:left="459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для дебиторской задолженности по налогам, сборам, пошлинам в бюджеты всех уровней;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2"/>
              </w:numPr>
              <w:tabs>
                <w:tab w:val="left" w:pos="885"/>
              </w:tabs>
              <w:ind w:left="459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для дебиторской задолженности управляющей компании перед ПИФ, независимо от оснований ее признания;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2"/>
              </w:numPr>
              <w:tabs>
                <w:tab w:val="left" w:pos="885"/>
              </w:tabs>
              <w:ind w:left="459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для дебиторской задолженности, возникшей по договорам с аудиторской организацией, оценщиком, специализированным депозитарием, лицом, осуществляющим ведение реестра владельцев инвестиционных паев,  , указанными в правилах доверительного управления ПИФ;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2"/>
              </w:numPr>
              <w:tabs>
                <w:tab w:val="left" w:pos="885"/>
              </w:tabs>
              <w:ind w:left="459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для дебиторской задолженности по возмещению суммы налогов из бюджета РФ.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1"/>
              </w:numPr>
              <w:tabs>
                <w:tab w:val="left" w:pos="885"/>
              </w:tabs>
              <w:ind w:left="459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 xml:space="preserve">в сумме, определенной с использованием метода приведенной </w:t>
            </w:r>
            <w:r w:rsidRPr="00BA31D9">
              <w:rPr>
                <w:rFonts w:eastAsia="Batang"/>
                <w:szCs w:val="24"/>
              </w:rPr>
              <w:lastRenderedPageBreak/>
              <w:t>стоимости будущих денежных потоков (</w:t>
            </w:r>
            <w:hyperlink w:anchor="приложение_5" w:history="1">
              <w:r w:rsidRPr="00BA31D9">
                <w:rPr>
                  <w:rFonts w:eastAsia="Batang"/>
                  <w:szCs w:val="24"/>
                </w:rPr>
                <w:t xml:space="preserve">Приложение </w:t>
              </w:r>
            </w:hyperlink>
            <w:r w:rsidRPr="00BA31D9">
              <w:rPr>
                <w:rFonts w:eastAsia="Batang"/>
                <w:szCs w:val="24"/>
              </w:rPr>
              <w:t>2 к настоящему Стандарту), в иных случаях.</w:t>
            </w:r>
          </w:p>
          <w:p w:rsidR="00832901" w:rsidRPr="00BA31D9" w:rsidRDefault="00341AB0" w:rsidP="00BA31D9">
            <w:pPr>
              <w:pStyle w:val="10"/>
              <w:tabs>
                <w:tab w:val="left" w:pos="993"/>
              </w:tabs>
              <w:ind w:left="0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ab/>
              <w:t>Справедливая стоимость дебиторской задолженности, возникшей в результате совершения сделок с имуществом ПИФ определяется в соответствии с порядком корректировки справедливой стоимости согласно п.2.10.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1" w:rsidRPr="00BA31D9" w:rsidRDefault="00832901" w:rsidP="00BA31D9">
            <w:pPr>
              <w:pStyle w:val="a4"/>
              <w:tabs>
                <w:tab w:val="num" w:pos="840"/>
              </w:tabs>
              <w:spacing w:after="0"/>
              <w:jc w:val="both"/>
              <w:rPr>
                <w:snapToGrid w:val="0"/>
                <w:sz w:val="24"/>
                <w:szCs w:val="24"/>
              </w:rPr>
            </w:pPr>
            <w:r w:rsidRPr="00BA31D9">
              <w:rPr>
                <w:snapToGrid w:val="0"/>
                <w:sz w:val="24"/>
                <w:szCs w:val="24"/>
              </w:rPr>
              <w:lastRenderedPageBreak/>
              <w:t xml:space="preserve">2.3.4 </w:t>
            </w:r>
            <w:r w:rsidRPr="00BA31D9">
              <w:rPr>
                <w:rFonts w:eastAsia="Batang"/>
                <w:sz w:val="24"/>
                <w:szCs w:val="24"/>
              </w:rPr>
              <w:t xml:space="preserve"> Справедливая стоимость прочей дебиторской задолженности определяется:</w:t>
            </w:r>
          </w:p>
          <w:p w:rsidR="00832901" w:rsidRPr="00BA31D9" w:rsidRDefault="00832901" w:rsidP="00BA31D9">
            <w:pPr>
              <w:pStyle w:val="10"/>
              <w:numPr>
                <w:ilvl w:val="0"/>
                <w:numId w:val="17"/>
              </w:numPr>
              <w:tabs>
                <w:tab w:val="left" w:pos="486"/>
              </w:tabs>
              <w:ind w:left="486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в сумме остатка задолженности на дату определения СЧА:</w:t>
            </w:r>
          </w:p>
          <w:p w:rsidR="00832901" w:rsidRPr="00BA31D9" w:rsidRDefault="00832901" w:rsidP="00BA31D9">
            <w:pPr>
              <w:pStyle w:val="10"/>
              <w:numPr>
                <w:ilvl w:val="0"/>
                <w:numId w:val="2"/>
              </w:numPr>
              <w:tabs>
                <w:tab w:val="left" w:pos="486"/>
              </w:tabs>
              <w:ind w:left="486"/>
              <w:jc w:val="both"/>
              <w:rPr>
                <w:rFonts w:eastAsia="Batang"/>
                <w:b/>
                <w:szCs w:val="24"/>
              </w:rPr>
            </w:pPr>
            <w:r w:rsidRPr="00BA31D9">
              <w:rPr>
                <w:rFonts w:eastAsia="Batang"/>
                <w:b/>
                <w:szCs w:val="24"/>
              </w:rPr>
              <w:t>для операционной дебиторской задолженности;</w:t>
            </w:r>
          </w:p>
          <w:p w:rsidR="00832901" w:rsidRPr="00BA31D9" w:rsidRDefault="00832901" w:rsidP="00BA31D9">
            <w:pPr>
              <w:pStyle w:val="10"/>
              <w:numPr>
                <w:ilvl w:val="0"/>
                <w:numId w:val="2"/>
              </w:numPr>
              <w:tabs>
                <w:tab w:val="left" w:pos="486"/>
              </w:tabs>
              <w:ind w:left="486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для дебиторской задолженности по налогам, сборам, пошлинам в бюджеты всех уровней;</w:t>
            </w:r>
          </w:p>
          <w:p w:rsidR="00832901" w:rsidRPr="00BA31D9" w:rsidRDefault="00832901" w:rsidP="00BA31D9">
            <w:pPr>
              <w:pStyle w:val="10"/>
              <w:numPr>
                <w:ilvl w:val="0"/>
                <w:numId w:val="2"/>
              </w:numPr>
              <w:tabs>
                <w:tab w:val="left" w:pos="486"/>
              </w:tabs>
              <w:ind w:left="486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для дебиторской задолженности управляющей компании перед ПИФ, независимо от оснований ее признания;</w:t>
            </w:r>
          </w:p>
          <w:p w:rsidR="00832901" w:rsidRPr="00BA31D9" w:rsidRDefault="00832901" w:rsidP="00BA31D9">
            <w:pPr>
              <w:pStyle w:val="10"/>
              <w:numPr>
                <w:ilvl w:val="0"/>
                <w:numId w:val="2"/>
              </w:numPr>
              <w:tabs>
                <w:tab w:val="left" w:pos="486"/>
              </w:tabs>
              <w:ind w:left="486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для дебиторской задолженности, возникшей по договорам с аудиторской организацией, оценщиком, специализированным депозитарием, лицом, осуществляющим ведение реестра вла</w:t>
            </w:r>
            <w:r w:rsidR="00D63D4D" w:rsidRPr="00BA31D9">
              <w:rPr>
                <w:rFonts w:eastAsia="Batang"/>
                <w:szCs w:val="24"/>
              </w:rPr>
              <w:t xml:space="preserve">дельцев инвестиционных паев, </w:t>
            </w:r>
            <w:r w:rsidRPr="00BA31D9">
              <w:rPr>
                <w:rFonts w:eastAsia="Batang"/>
                <w:szCs w:val="24"/>
              </w:rPr>
              <w:t>указанными в правилах доверительного управления ПИФ;</w:t>
            </w:r>
          </w:p>
          <w:p w:rsidR="00832901" w:rsidRPr="00BA31D9" w:rsidRDefault="00832901" w:rsidP="00BA31D9">
            <w:pPr>
              <w:pStyle w:val="10"/>
              <w:numPr>
                <w:ilvl w:val="0"/>
                <w:numId w:val="2"/>
              </w:numPr>
              <w:tabs>
                <w:tab w:val="left" w:pos="486"/>
              </w:tabs>
              <w:ind w:left="486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для дебиторской задолженности по возмещению суммы налогов из бюджета РФ.</w:t>
            </w:r>
          </w:p>
          <w:p w:rsidR="00341AB0" w:rsidRPr="00BA31D9" w:rsidRDefault="00341AB0" w:rsidP="00BA31D9">
            <w:pPr>
              <w:pStyle w:val="10"/>
              <w:numPr>
                <w:ilvl w:val="0"/>
                <w:numId w:val="17"/>
              </w:numPr>
              <w:tabs>
                <w:tab w:val="left" w:pos="628"/>
              </w:tabs>
              <w:ind w:left="486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>в сумме, определенной с использованием метода приведенной стоимости будущих денежных потоков (</w:t>
            </w:r>
            <w:hyperlink w:anchor="приложение_5" w:history="1">
              <w:r w:rsidRPr="00BA31D9">
                <w:rPr>
                  <w:rFonts w:eastAsia="Batang"/>
                  <w:szCs w:val="24"/>
                </w:rPr>
                <w:t xml:space="preserve">Приложение </w:t>
              </w:r>
            </w:hyperlink>
            <w:r w:rsidRPr="00BA31D9">
              <w:rPr>
                <w:rFonts w:eastAsia="Batang"/>
                <w:szCs w:val="24"/>
              </w:rPr>
              <w:t>2 к настоящему Стандарту), в иных случаях.</w:t>
            </w:r>
          </w:p>
          <w:p w:rsidR="00341AB0" w:rsidRPr="00BA31D9" w:rsidRDefault="00341AB0" w:rsidP="00BA31D9">
            <w:pPr>
              <w:pStyle w:val="10"/>
              <w:tabs>
                <w:tab w:val="left" w:pos="993"/>
              </w:tabs>
              <w:ind w:left="0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ab/>
              <w:t>Справедливая стоимость дебиторской задолженности, возникшей в результате совершения сделок с имуществом ПИФ определяется в соответствии с порядком корректировки справедливой стоимости согласно п.2.10.</w:t>
            </w:r>
          </w:p>
          <w:p w:rsidR="00137F58" w:rsidRPr="00BA31D9" w:rsidRDefault="00137F58" w:rsidP="00BA31D9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 w:rsidRPr="00BA31D9">
              <w:rPr>
                <w:color w:val="222222"/>
                <w:sz w:val="24"/>
                <w:szCs w:val="24"/>
              </w:rPr>
              <w:t xml:space="preserve">       </w:t>
            </w:r>
            <w:r w:rsidRPr="00BA31D9">
              <w:rPr>
                <w:b/>
                <w:color w:val="222222"/>
                <w:sz w:val="24"/>
                <w:szCs w:val="24"/>
              </w:rPr>
              <w:t xml:space="preserve"> В целях настоящего пункта под операционной </w:t>
            </w:r>
            <w:r w:rsidRPr="00BA31D9">
              <w:rPr>
                <w:b/>
                <w:color w:val="222222"/>
                <w:sz w:val="24"/>
                <w:szCs w:val="24"/>
              </w:rPr>
              <w:lastRenderedPageBreak/>
              <w:t>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контрагентов, срок погашения которой в соответствии со сложившейся в рамках доверительного управления паевым инвестиционным фондом практикой не превышает сроков, установленных в Правилах СЧА. Превышение сроков погашения операционной дебиторской задолженности контрагентами, предусмотренными Правилами СЧА, влечет к обесценению.</w:t>
            </w:r>
          </w:p>
          <w:p w:rsidR="00832901" w:rsidRPr="00BA31D9" w:rsidRDefault="00832901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F3024" w:rsidRPr="00BA31D9" w:rsidTr="00AF3024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24" w:rsidRPr="00BA31D9" w:rsidRDefault="00AF3024" w:rsidP="00BA31D9">
            <w:pPr>
              <w:pStyle w:val="a4"/>
              <w:tabs>
                <w:tab w:val="num" w:pos="840"/>
              </w:tabs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BA31D9">
              <w:rPr>
                <w:b/>
                <w:bCs/>
                <w:sz w:val="24"/>
                <w:szCs w:val="24"/>
              </w:rPr>
              <w:lastRenderedPageBreak/>
              <w:t>Изменить п. 2.12. Стандарта</w:t>
            </w:r>
          </w:p>
        </w:tc>
      </w:tr>
      <w:tr w:rsidR="00832901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0" w:rsidRPr="00BA31D9" w:rsidRDefault="00341AB0" w:rsidP="00BA31D9">
            <w:pPr>
              <w:pStyle w:val="10"/>
              <w:tabs>
                <w:tab w:val="left" w:pos="993"/>
              </w:tabs>
              <w:ind w:left="0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 xml:space="preserve">2.12. Не допускается использование экспертного (мотивированного) суждения, не описанного в виде алгоритма (модели) в Правилах определения СЧА, согласованных со специализированным депозитарием. </w:t>
            </w:r>
          </w:p>
          <w:p w:rsidR="00832901" w:rsidRPr="00BA31D9" w:rsidRDefault="00832901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0" w:rsidRPr="00BA31D9" w:rsidRDefault="00832901" w:rsidP="00BA31D9">
            <w:pPr>
              <w:pStyle w:val="10"/>
              <w:tabs>
                <w:tab w:val="left" w:pos="993"/>
              </w:tabs>
              <w:ind w:left="0"/>
              <w:jc w:val="both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szCs w:val="24"/>
              </w:rPr>
              <w:t xml:space="preserve">2.12. Не допускается использование экспертного (мотивированного) суждения, не описанного в виде алгоритма (модели) в Правилах определения СЧА, согласованных со специализированным депозитарием. </w:t>
            </w:r>
          </w:p>
          <w:p w:rsidR="00832901" w:rsidRPr="00BA31D9" w:rsidRDefault="00137F58" w:rsidP="0006309C">
            <w:pPr>
              <w:pStyle w:val="10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 w:rsidRPr="00BA31D9">
              <w:rPr>
                <w:rFonts w:eastAsia="Batang"/>
                <w:b/>
                <w:szCs w:val="24"/>
              </w:rPr>
              <w:t>П</w:t>
            </w:r>
            <w:r w:rsidR="00832901" w:rsidRPr="00BA31D9">
              <w:rPr>
                <w:rFonts w:eastAsia="Batang"/>
                <w:b/>
                <w:szCs w:val="24"/>
              </w:rPr>
              <w:t>од алгоритмом (моделью)</w:t>
            </w:r>
            <w:r w:rsidRPr="00BA31D9">
              <w:rPr>
                <w:rFonts w:eastAsia="Batang"/>
                <w:b/>
                <w:szCs w:val="24"/>
              </w:rPr>
              <w:t xml:space="preserve"> в целях настоящего пункта</w:t>
            </w:r>
            <w:r w:rsidR="00832901" w:rsidRPr="00BA31D9">
              <w:rPr>
                <w:rFonts w:eastAsia="Batang"/>
                <w:b/>
                <w:szCs w:val="24"/>
              </w:rPr>
              <w:t xml:space="preserve"> понимается</w:t>
            </w:r>
            <w:r w:rsidRPr="00BA31D9">
              <w:rPr>
                <w:rFonts w:eastAsia="Batang"/>
                <w:b/>
                <w:szCs w:val="24"/>
              </w:rPr>
              <w:t xml:space="preserve"> описанный в Правилах определения СЧА</w:t>
            </w:r>
            <w:r w:rsidR="00832901" w:rsidRPr="00BA31D9">
              <w:rPr>
                <w:rFonts w:eastAsia="Batang"/>
                <w:b/>
                <w:szCs w:val="24"/>
              </w:rPr>
              <w:t xml:space="preserve"> порядок </w:t>
            </w:r>
            <w:r w:rsidR="0006309C">
              <w:rPr>
                <w:rFonts w:eastAsia="Batang"/>
                <w:b/>
                <w:szCs w:val="24"/>
              </w:rPr>
              <w:t>составления</w:t>
            </w:r>
            <w:r w:rsidR="0006309C" w:rsidRPr="0006309C">
              <w:rPr>
                <w:rFonts w:eastAsia="Batang"/>
                <w:b/>
                <w:szCs w:val="24"/>
              </w:rPr>
              <w:t xml:space="preserve"> </w:t>
            </w:r>
            <w:r w:rsidR="00832901" w:rsidRPr="00BA31D9">
              <w:rPr>
                <w:rFonts w:eastAsia="Batang"/>
                <w:b/>
                <w:szCs w:val="24"/>
              </w:rPr>
              <w:t>управляющей компани</w:t>
            </w:r>
            <w:r w:rsidR="0006309C">
              <w:rPr>
                <w:rFonts w:eastAsia="Batang"/>
                <w:b/>
                <w:szCs w:val="24"/>
              </w:rPr>
              <w:t>ей</w:t>
            </w:r>
            <w:r w:rsidR="00832901" w:rsidRPr="00BA31D9">
              <w:rPr>
                <w:rFonts w:eastAsia="Batang"/>
                <w:b/>
                <w:szCs w:val="24"/>
              </w:rPr>
              <w:t xml:space="preserve">  при экспертного (мотивированного) суждения</w:t>
            </w:r>
            <w:r w:rsidR="0006309C">
              <w:rPr>
                <w:rFonts w:eastAsia="Batang"/>
                <w:b/>
                <w:szCs w:val="24"/>
              </w:rPr>
              <w:t xml:space="preserve">. Такой порядок, например, может содержать </w:t>
            </w:r>
            <w:r w:rsidR="00832901" w:rsidRPr="00BA31D9">
              <w:rPr>
                <w:rFonts w:eastAsia="Batang"/>
                <w:b/>
                <w:szCs w:val="24"/>
              </w:rPr>
              <w:t xml:space="preserve"> перечень возможных источников информации для принятия экспертного (мотивированного) суждения</w:t>
            </w:r>
            <w:r w:rsidR="0006309C">
              <w:rPr>
                <w:rFonts w:eastAsia="Batang"/>
                <w:b/>
                <w:szCs w:val="24"/>
              </w:rPr>
              <w:t xml:space="preserve">. </w:t>
            </w:r>
          </w:p>
        </w:tc>
      </w:tr>
      <w:tr w:rsidR="00AF3024" w:rsidRPr="00BA31D9" w:rsidTr="00AF3024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24" w:rsidRPr="00BA31D9" w:rsidRDefault="00AF3024" w:rsidP="00BA31D9">
            <w:pPr>
              <w:pStyle w:val="10"/>
              <w:tabs>
                <w:tab w:val="left" w:pos="993"/>
              </w:tabs>
              <w:ind w:left="0"/>
              <w:jc w:val="center"/>
              <w:rPr>
                <w:rFonts w:eastAsia="Batang"/>
                <w:szCs w:val="24"/>
              </w:rPr>
            </w:pPr>
            <w:r w:rsidRPr="00BA31D9">
              <w:rPr>
                <w:b/>
                <w:bCs/>
                <w:szCs w:val="24"/>
              </w:rPr>
              <w:t>Изменить п. 2.13. Стандарта</w:t>
            </w:r>
          </w:p>
        </w:tc>
      </w:tr>
      <w:tr w:rsidR="00832901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1" w:rsidRPr="00BA31D9" w:rsidRDefault="00832901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2.13. Правила определения СЧА могут содержать </w:t>
            </w:r>
            <w:r w:rsidRPr="0006309C">
              <w:rPr>
                <w:b/>
                <w:strike/>
                <w:sz w:val="24"/>
                <w:szCs w:val="24"/>
              </w:rPr>
              <w:t>закрытый</w:t>
            </w:r>
            <w:r w:rsidRPr="00BA31D9">
              <w:rPr>
                <w:sz w:val="24"/>
                <w:szCs w:val="24"/>
              </w:rPr>
              <w:t xml:space="preserve"> перечень существенных фактов, наступление которых влияет на справедливую стоимость актива. В случае, если правила определения СЧА содержат указанный выше перечень, то должен быть предусмотрен порядок информирования специализированного депозитария о наступлении существенного факта, а также порядок обесценения актива</w:t>
            </w:r>
            <w:r w:rsidRPr="00BA31D9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1" w:rsidRPr="00BA31D9" w:rsidRDefault="00832901" w:rsidP="00BA31D9">
            <w:pPr>
              <w:pStyle w:val="10"/>
              <w:tabs>
                <w:tab w:val="left" w:pos="993"/>
              </w:tabs>
              <w:ind w:left="0"/>
              <w:jc w:val="both"/>
              <w:rPr>
                <w:rFonts w:eastAsia="Batang"/>
                <w:szCs w:val="24"/>
              </w:rPr>
            </w:pPr>
            <w:r w:rsidRPr="00BA31D9">
              <w:rPr>
                <w:szCs w:val="24"/>
              </w:rPr>
              <w:t xml:space="preserve">2.13. Правила определения СЧА могут содержать </w:t>
            </w:r>
            <w:r w:rsidRPr="00BA31D9">
              <w:rPr>
                <w:b/>
                <w:szCs w:val="24"/>
              </w:rPr>
              <w:t>перечень</w:t>
            </w:r>
            <w:r w:rsidRPr="00BA31D9">
              <w:rPr>
                <w:szCs w:val="24"/>
              </w:rPr>
              <w:t xml:space="preserve"> существенных фактов, наступление которых влияет на справедливую стоимость актива. В случае если правила определения СЧА содержат указанный выше перечень, то должен быть предусмотрен порядок информирования специализированного депозитария о наступлении существенного факта, а также порядок обесценения актива</w:t>
            </w:r>
            <w:r w:rsidRPr="00BA31D9">
              <w:rPr>
                <w:rFonts w:eastAsia="Batang"/>
                <w:szCs w:val="24"/>
              </w:rPr>
              <w:t>.</w:t>
            </w:r>
          </w:p>
        </w:tc>
      </w:tr>
      <w:tr w:rsidR="00AF3024" w:rsidRPr="00BA31D9" w:rsidTr="00AF3024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24" w:rsidRPr="00BA31D9" w:rsidRDefault="00AF3024" w:rsidP="00BA31D9">
            <w:pPr>
              <w:pStyle w:val="10"/>
              <w:tabs>
                <w:tab w:val="left" w:pos="993"/>
              </w:tabs>
              <w:ind w:left="0"/>
              <w:jc w:val="center"/>
              <w:rPr>
                <w:szCs w:val="24"/>
              </w:rPr>
            </w:pPr>
            <w:r w:rsidRPr="00BA31D9">
              <w:rPr>
                <w:b/>
                <w:bCs/>
                <w:szCs w:val="24"/>
              </w:rPr>
              <w:t>Изменить п. 5.5. Стандарта</w:t>
            </w:r>
          </w:p>
        </w:tc>
      </w:tr>
      <w:tr w:rsidR="00AF3024" w:rsidRPr="00BA31D9" w:rsidTr="00707E58">
        <w:trPr>
          <w:trHeight w:val="164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24" w:rsidRPr="00BA31D9" w:rsidRDefault="00AF3024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sz w:val="24"/>
                <w:szCs w:val="24"/>
              </w:rPr>
            </w:pPr>
            <w:r w:rsidRPr="00BA31D9">
              <w:rPr>
                <w:rFonts w:eastAsia="Batang"/>
                <w:sz w:val="24"/>
                <w:szCs w:val="24"/>
              </w:rPr>
              <w:lastRenderedPageBreak/>
              <w:t>5.5. В случаях, предусмотренных пунктом 5.2, 5.3 и 5.4. настоящего Стандарта, управляющая компания обязана согласовать Правила определения СЧА со специализированным депозитарием и уведомить об этом НАУФОР не позднее 10 (десяти) дней с даты согласования.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B" w:rsidRPr="00BA31D9" w:rsidRDefault="00137F58" w:rsidP="00BA31D9">
            <w:pPr>
              <w:pStyle w:val="10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 w:rsidRPr="00BA31D9">
              <w:rPr>
                <w:rFonts w:eastAsia="Batang"/>
                <w:szCs w:val="24"/>
              </w:rPr>
              <w:t>5.5. В случаях, предусмотренных пунктом 5.2, 5.3 и 5.4. настоящего Стандарта, управляющая компания обязана</w:t>
            </w:r>
            <w:r w:rsidRPr="00BA31D9">
              <w:rPr>
                <w:rFonts w:eastAsia="Batang"/>
                <w:b/>
                <w:szCs w:val="24"/>
              </w:rPr>
              <w:t xml:space="preserve"> после согласования</w:t>
            </w:r>
            <w:r w:rsidRPr="00BA31D9">
              <w:rPr>
                <w:rFonts w:eastAsia="Batang"/>
                <w:szCs w:val="24"/>
              </w:rPr>
              <w:t xml:space="preserve"> Правил определения СЧА </w:t>
            </w:r>
            <w:r w:rsidRPr="00BA31D9">
              <w:rPr>
                <w:rFonts w:eastAsia="Batang"/>
                <w:b/>
                <w:szCs w:val="24"/>
              </w:rPr>
              <w:t>(изменений и дополнений в Правила определения СЧА)</w:t>
            </w:r>
            <w:r w:rsidRPr="00BA31D9">
              <w:rPr>
                <w:rFonts w:eastAsia="Batang"/>
                <w:szCs w:val="24"/>
              </w:rPr>
              <w:t xml:space="preserve"> со специализированным депозитарием уведомить НАУФОР не позднее 10 (десяти) дней с даты соответствующего </w:t>
            </w:r>
            <w:r w:rsidRPr="00BA31D9">
              <w:rPr>
                <w:rFonts w:eastAsia="Batang"/>
                <w:b/>
                <w:szCs w:val="24"/>
              </w:rPr>
              <w:t>согласования о применении иных, чем предусмотрено настоящим Стандартом методик.</w:t>
            </w:r>
          </w:p>
        </w:tc>
      </w:tr>
      <w:tr w:rsidR="000B1452" w:rsidRPr="00BA31D9" w:rsidTr="00AF3024">
        <w:trPr>
          <w:trHeight w:val="69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52" w:rsidRPr="00BA31D9" w:rsidRDefault="000B1452" w:rsidP="00BA31D9">
            <w:pPr>
              <w:pStyle w:val="10"/>
              <w:tabs>
                <w:tab w:val="left" w:pos="993"/>
              </w:tabs>
              <w:ind w:left="0"/>
              <w:jc w:val="center"/>
              <w:rPr>
                <w:b/>
                <w:szCs w:val="24"/>
              </w:rPr>
            </w:pPr>
            <w:r w:rsidRPr="00BA31D9">
              <w:rPr>
                <w:b/>
                <w:szCs w:val="24"/>
              </w:rPr>
              <w:t>Приложение 1</w:t>
            </w:r>
            <w:r w:rsidR="00AF3024" w:rsidRPr="00BA31D9">
              <w:rPr>
                <w:b/>
                <w:color w:val="000000" w:themeColor="text1"/>
                <w:szCs w:val="24"/>
              </w:rPr>
              <w:t xml:space="preserve"> к Стандарту</w:t>
            </w:r>
            <w:r w:rsidRPr="00BA31D9">
              <w:rPr>
                <w:b/>
                <w:szCs w:val="24"/>
              </w:rPr>
              <w:t>. Допустимые методы определения справедливой стоимости ценных бумаг</w:t>
            </w:r>
          </w:p>
        </w:tc>
      </w:tr>
      <w:tr w:rsidR="00341AB0" w:rsidRPr="00BA31D9" w:rsidTr="00A3101E">
        <w:trPr>
          <w:trHeight w:val="541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B3" w:rsidRDefault="00341AB0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center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2 уровень: </w:t>
            </w:r>
          </w:p>
          <w:p w:rsidR="00341AB0" w:rsidRPr="00BA31D9" w:rsidRDefault="00341AB0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center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Ценные бумаги российских эмитентов (</w:t>
            </w:r>
            <w:r w:rsidRPr="00BA31D9">
              <w:rPr>
                <w:bCs/>
                <w:color w:val="000000" w:themeColor="text1"/>
                <w:sz w:val="24"/>
                <w:szCs w:val="24"/>
              </w:rPr>
              <w:t>облигации российских эмитентов)</w:t>
            </w:r>
          </w:p>
        </w:tc>
      </w:tr>
      <w:tr w:rsidR="00832901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1" w:rsidRPr="00BA31D9" w:rsidRDefault="006E40E1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Для облигаций российских эмитентов в порядке убывания приоритета: </w:t>
            </w:r>
            <w:r w:rsidRPr="00BA31D9">
              <w:rPr>
                <w:sz w:val="24"/>
                <w:szCs w:val="24"/>
              </w:rPr>
              <w:br/>
              <w:t>Вариант 1.  цена, рассчитанная НКО АО НРД (приоритет по ценам, рассчитанным по методологии, утвержденной 01.12.2017, при отсутствии цены могут использоваться методологии, утвержденные до этого времени), Thompson Reuters (Refinitiv)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1" w:rsidRDefault="00832901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Для облигаций российских эмитентов в порядке</w:t>
            </w:r>
            <w:r w:rsidR="00F224E0">
              <w:rPr>
                <w:sz w:val="24"/>
                <w:szCs w:val="24"/>
              </w:rPr>
              <w:t>, установленном в Правилах определения СЧА</w:t>
            </w:r>
            <w:r w:rsidRPr="00BA31D9">
              <w:rPr>
                <w:sz w:val="24"/>
                <w:szCs w:val="24"/>
              </w:rPr>
              <w:t xml:space="preserve">: </w:t>
            </w:r>
            <w:r w:rsidRPr="00BA31D9">
              <w:rPr>
                <w:sz w:val="24"/>
                <w:szCs w:val="24"/>
              </w:rPr>
              <w:br/>
              <w:t>Вариант 1.  цена, рассчитанная НКО АО НРД</w:t>
            </w:r>
            <w:r w:rsidR="00933983" w:rsidRPr="00BA31D9">
              <w:rPr>
                <w:sz w:val="24"/>
                <w:szCs w:val="24"/>
              </w:rPr>
              <w:t xml:space="preserve"> </w:t>
            </w:r>
            <w:r w:rsidR="00933983" w:rsidRPr="00BA31D9">
              <w:rPr>
                <w:b/>
                <w:sz w:val="24"/>
                <w:szCs w:val="24"/>
              </w:rPr>
              <w:t>по методологиям, утвержденным 01.12.2017 и позднее</w:t>
            </w:r>
            <w:r w:rsidRPr="00BA31D9">
              <w:rPr>
                <w:sz w:val="24"/>
                <w:szCs w:val="24"/>
              </w:rPr>
              <w:t xml:space="preserve">, </w:t>
            </w:r>
            <w:r w:rsidRPr="00BA31D9">
              <w:rPr>
                <w:b/>
                <w:sz w:val="24"/>
                <w:szCs w:val="24"/>
              </w:rPr>
              <w:t>Bloomberg</w:t>
            </w:r>
            <w:r w:rsidRPr="00BA31D9">
              <w:rPr>
                <w:sz w:val="24"/>
                <w:szCs w:val="24"/>
              </w:rPr>
              <w:t>, Thompson Reuters (Refinitiv)</w:t>
            </w:r>
          </w:p>
          <w:p w:rsidR="00925E00" w:rsidRPr="00BA31D9" w:rsidRDefault="00925E00" w:rsidP="0006309C">
            <w:pPr>
              <w:pStyle w:val="a4"/>
              <w:tabs>
                <w:tab w:val="num" w:pos="8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41AB0" w:rsidRPr="00BA31D9" w:rsidTr="00966FA0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B0" w:rsidRPr="00BA31D9" w:rsidRDefault="00F64968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center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2 уровень. Ценные бумаги иностранных эмитентов  (в том числе паи иностранных инвестиционных фондов)</w:t>
            </w:r>
          </w:p>
        </w:tc>
      </w:tr>
      <w:tr w:rsidR="00832901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1" w:rsidRPr="00BA31D9" w:rsidRDefault="00F64968" w:rsidP="00BA31D9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Для акций иностранных эмитентов в качестве безрисковой ставки доходности применяется ставка Libor1Y.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1" w:rsidRPr="004E2289" w:rsidRDefault="004E2289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b/>
                <w:sz w:val="24"/>
                <w:szCs w:val="24"/>
              </w:rPr>
            </w:pPr>
            <w:r w:rsidRPr="004E2289">
              <w:rPr>
                <w:b/>
                <w:color w:val="222222"/>
                <w:sz w:val="24"/>
                <w:szCs w:val="24"/>
                <w:shd w:val="clear" w:color="auto" w:fill="FFFFFF"/>
              </w:rPr>
              <w:t>Для акций иностранных эмитентов в качестве безрисковой ставки доходности применяется ставка по государственным бумагам, «страна риска» которых соответствует «стране риска» оцениваемой акции.</w:t>
            </w:r>
          </w:p>
        </w:tc>
      </w:tr>
      <w:tr w:rsidR="00127FD2" w:rsidRPr="00BA31D9" w:rsidTr="00A3101E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4" w:rsidRPr="00BA31D9" w:rsidRDefault="00F64968" w:rsidP="00BA31D9">
            <w:pPr>
              <w:pStyle w:val="a4"/>
              <w:tabs>
                <w:tab w:val="num" w:pos="840"/>
              </w:tabs>
              <w:spacing w:after="0"/>
              <w:ind w:left="318"/>
              <w:jc w:val="center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2 уровень:</w:t>
            </w:r>
          </w:p>
          <w:p w:rsidR="00127FD2" w:rsidRPr="00BA31D9" w:rsidRDefault="00127FD2" w:rsidP="00BA31D9">
            <w:pPr>
              <w:pStyle w:val="a4"/>
              <w:tabs>
                <w:tab w:val="num" w:pos="840"/>
              </w:tabs>
              <w:spacing w:after="0"/>
              <w:ind w:left="318"/>
              <w:jc w:val="center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• Облигация внешних облигационных займов Российской Федерации;</w:t>
            </w:r>
          </w:p>
          <w:p w:rsidR="00127FD2" w:rsidRPr="00BA31D9" w:rsidRDefault="00127FD2" w:rsidP="00BA31D9">
            <w:pPr>
              <w:pStyle w:val="a4"/>
              <w:tabs>
                <w:tab w:val="num" w:pos="840"/>
              </w:tabs>
              <w:spacing w:after="0"/>
              <w:ind w:left="318"/>
              <w:jc w:val="center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• Долговая ценная бумага иностранных государств;</w:t>
            </w:r>
          </w:p>
          <w:p w:rsidR="00127FD2" w:rsidRPr="00BA31D9" w:rsidRDefault="00127FD2" w:rsidP="00BA31D9">
            <w:pPr>
              <w:pStyle w:val="a4"/>
              <w:tabs>
                <w:tab w:val="num" w:pos="840"/>
              </w:tabs>
              <w:spacing w:after="0"/>
              <w:ind w:left="318"/>
              <w:jc w:val="center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• Еврооблигация иностранного эмитента, долговая ценная бумага иностранного государства;</w:t>
            </w:r>
          </w:p>
          <w:p w:rsidR="00127FD2" w:rsidRPr="00BA31D9" w:rsidRDefault="00127FD2" w:rsidP="00BA31D9">
            <w:pPr>
              <w:pStyle w:val="a4"/>
              <w:tabs>
                <w:tab w:val="num" w:pos="840"/>
              </w:tabs>
              <w:spacing w:after="0"/>
              <w:ind w:left="318"/>
              <w:jc w:val="center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• Ценная бумага международной финансовой организации.</w:t>
            </w:r>
          </w:p>
        </w:tc>
      </w:tr>
      <w:tr w:rsidR="00127FD2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2" w:rsidRPr="00BA31D9" w:rsidRDefault="00127FD2" w:rsidP="00BA31D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A31D9">
              <w:rPr>
                <w:bCs/>
                <w:color w:val="000000" w:themeColor="text1"/>
                <w:sz w:val="24"/>
                <w:szCs w:val="24"/>
              </w:rPr>
              <w:t>В порядке убывания приоритета:</w:t>
            </w:r>
          </w:p>
          <w:p w:rsidR="00127FD2" w:rsidRPr="00BA31D9" w:rsidRDefault="00127FD2" w:rsidP="00BA31D9">
            <w:pPr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 xml:space="preserve">1) Цена BGN (Last Price), раскрываемая информационной системой "Блумберг" (Bloomberg) на дату определения СЧА; </w:t>
            </w:r>
          </w:p>
          <w:p w:rsidR="00127FD2" w:rsidRPr="00BA31D9" w:rsidRDefault="00127FD2" w:rsidP="00BA31D9">
            <w:pPr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 xml:space="preserve">2) Цена BVAL (Mid BVAL), раскрываемая информационной </w:t>
            </w:r>
            <w:r w:rsidRPr="00BA31D9">
              <w:rPr>
                <w:color w:val="000000" w:themeColor="text1"/>
                <w:sz w:val="24"/>
                <w:szCs w:val="24"/>
              </w:rPr>
              <w:lastRenderedPageBreak/>
              <w:t xml:space="preserve">системой "Блумберг" (Bloomberg) на дату определения СЧА.  </w:t>
            </w:r>
            <w:r w:rsidRPr="00BA31D9">
              <w:rPr>
                <w:color w:val="000000" w:themeColor="text1"/>
                <w:sz w:val="24"/>
                <w:szCs w:val="24"/>
                <w:lang w:val="en-US"/>
              </w:rPr>
              <w:t>Score</w:t>
            </w:r>
            <w:r w:rsidRPr="00BA31D9">
              <w:rPr>
                <w:color w:val="000000" w:themeColor="text1"/>
                <w:sz w:val="24"/>
                <w:szCs w:val="24"/>
              </w:rPr>
              <w:t xml:space="preserve"> равен 6 и выше</w:t>
            </w:r>
          </w:p>
          <w:p w:rsidR="00127FD2" w:rsidRPr="00BA31D9" w:rsidRDefault="00127FD2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3) НРД по Методике ОСЦ НРД </w:t>
            </w:r>
          </w:p>
          <w:p w:rsidR="00127FD2" w:rsidRPr="00BA31D9" w:rsidRDefault="00127FD2" w:rsidP="00BA31D9">
            <w:pPr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4)</w:t>
            </w:r>
            <w:r w:rsidRPr="00BA31D9">
              <w:rPr>
                <w:color w:val="FF0000"/>
                <w:sz w:val="24"/>
                <w:szCs w:val="24"/>
              </w:rPr>
              <w:t xml:space="preserve"> </w:t>
            </w:r>
            <w:r w:rsidRPr="00BA31D9">
              <w:rPr>
                <w:color w:val="000000" w:themeColor="text1"/>
                <w:sz w:val="24"/>
                <w:szCs w:val="24"/>
              </w:rPr>
              <w:t>Thompson Reuters (</w:t>
            </w:r>
            <w:r w:rsidRPr="00BA31D9">
              <w:rPr>
                <w:color w:val="000000" w:themeColor="text1"/>
                <w:sz w:val="24"/>
                <w:szCs w:val="24"/>
                <w:lang w:val="en-US"/>
              </w:rPr>
              <w:t>Refinitiv</w:t>
            </w:r>
            <w:r w:rsidRPr="00BA31D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2" w:rsidRPr="00BA31D9" w:rsidRDefault="00127FD2" w:rsidP="00BA31D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A31D9">
              <w:rPr>
                <w:bCs/>
                <w:color w:val="000000" w:themeColor="text1"/>
                <w:sz w:val="24"/>
                <w:szCs w:val="24"/>
              </w:rPr>
              <w:lastRenderedPageBreak/>
              <w:t>В порядке убывания приоритета:</w:t>
            </w:r>
          </w:p>
          <w:p w:rsidR="00127FD2" w:rsidRPr="00BA31D9" w:rsidRDefault="00127FD2" w:rsidP="00BA31D9">
            <w:pPr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 xml:space="preserve">1) Цена BGN (Last Price), раскрываемая информационной системой "Блумберг" (Bloomberg) на дату определения СЧА; </w:t>
            </w:r>
          </w:p>
          <w:p w:rsidR="00127FD2" w:rsidRPr="00BA31D9" w:rsidRDefault="00127FD2" w:rsidP="00BA31D9">
            <w:pPr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 xml:space="preserve">2) Цена BVAL (Mid BVAL), раскрываемая информационной </w:t>
            </w:r>
            <w:r w:rsidRPr="00BA31D9">
              <w:rPr>
                <w:color w:val="000000" w:themeColor="text1"/>
                <w:sz w:val="24"/>
                <w:szCs w:val="24"/>
              </w:rPr>
              <w:lastRenderedPageBreak/>
              <w:t xml:space="preserve">системой "Блумберг" (Bloomberg) на дату определения СЧА.  </w:t>
            </w:r>
            <w:r w:rsidRPr="00BA31D9">
              <w:rPr>
                <w:color w:val="000000" w:themeColor="text1"/>
                <w:sz w:val="24"/>
                <w:szCs w:val="24"/>
                <w:lang w:val="en-US"/>
              </w:rPr>
              <w:t>Score</w:t>
            </w:r>
            <w:r w:rsidRPr="00BA31D9">
              <w:rPr>
                <w:color w:val="000000" w:themeColor="text1"/>
                <w:sz w:val="24"/>
                <w:szCs w:val="24"/>
              </w:rPr>
              <w:t xml:space="preserve"> равен 6 и выше</w:t>
            </w:r>
          </w:p>
          <w:p w:rsidR="00127FD2" w:rsidRPr="00BA31D9" w:rsidRDefault="00127FD2" w:rsidP="00BA31D9">
            <w:pPr>
              <w:rPr>
                <w:b/>
                <w:sz w:val="24"/>
                <w:szCs w:val="24"/>
              </w:rPr>
            </w:pPr>
            <w:r w:rsidRPr="00BA31D9">
              <w:rPr>
                <w:b/>
                <w:sz w:val="24"/>
                <w:szCs w:val="24"/>
              </w:rPr>
              <w:t>3)</w:t>
            </w:r>
            <w:r w:rsidR="00933983" w:rsidRPr="00BA31D9">
              <w:rPr>
                <w:sz w:val="24"/>
                <w:szCs w:val="24"/>
              </w:rPr>
              <w:t xml:space="preserve"> Цена, рассчитанная НКО АО НРД</w:t>
            </w:r>
            <w:r w:rsidR="00D63D4D" w:rsidRPr="00BA31D9">
              <w:rPr>
                <w:sz w:val="24"/>
                <w:szCs w:val="24"/>
              </w:rPr>
              <w:t xml:space="preserve"> </w:t>
            </w:r>
            <w:r w:rsidR="00D63D4D" w:rsidRPr="00BA31D9">
              <w:rPr>
                <w:b/>
                <w:sz w:val="24"/>
                <w:szCs w:val="24"/>
              </w:rPr>
              <w:t>по методологиям</w:t>
            </w:r>
            <w:r w:rsidR="00933983" w:rsidRPr="00BA31D9">
              <w:rPr>
                <w:sz w:val="24"/>
                <w:szCs w:val="24"/>
              </w:rPr>
              <w:t xml:space="preserve"> </w:t>
            </w:r>
            <w:r w:rsidR="00D63D4D" w:rsidRPr="00BA31D9">
              <w:rPr>
                <w:b/>
                <w:sz w:val="24"/>
                <w:szCs w:val="24"/>
              </w:rPr>
              <w:t xml:space="preserve"> утвержденным 01.12.2017 и позднее</w:t>
            </w:r>
          </w:p>
          <w:p w:rsidR="00127FD2" w:rsidRPr="00BA31D9" w:rsidRDefault="00127FD2" w:rsidP="00BA31D9">
            <w:pPr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4)</w:t>
            </w:r>
            <w:r w:rsidRPr="00BA31D9">
              <w:rPr>
                <w:color w:val="FF0000"/>
                <w:sz w:val="24"/>
                <w:szCs w:val="24"/>
              </w:rPr>
              <w:t xml:space="preserve"> </w:t>
            </w:r>
            <w:r w:rsidRPr="00BA31D9">
              <w:rPr>
                <w:color w:val="000000" w:themeColor="text1"/>
                <w:sz w:val="24"/>
                <w:szCs w:val="24"/>
              </w:rPr>
              <w:t>Thompson Reuters (</w:t>
            </w:r>
            <w:r w:rsidRPr="00BA31D9">
              <w:rPr>
                <w:color w:val="000000" w:themeColor="text1"/>
                <w:sz w:val="24"/>
                <w:szCs w:val="24"/>
                <w:lang w:val="en-US"/>
              </w:rPr>
              <w:t>Refinitiv</w:t>
            </w:r>
            <w:r w:rsidRPr="00BA31D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179E6" w:rsidRPr="00BA31D9" w:rsidTr="00AF3024">
        <w:trPr>
          <w:trHeight w:val="554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E6" w:rsidRPr="00BA31D9" w:rsidRDefault="002179E6" w:rsidP="00BA31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31D9">
              <w:rPr>
                <w:b/>
                <w:color w:val="000000" w:themeColor="text1"/>
                <w:sz w:val="24"/>
                <w:szCs w:val="24"/>
              </w:rPr>
              <w:lastRenderedPageBreak/>
              <w:t>Приложение 2</w:t>
            </w:r>
            <w:r w:rsidR="00AF3024" w:rsidRPr="00BA31D9">
              <w:rPr>
                <w:b/>
                <w:color w:val="000000" w:themeColor="text1"/>
                <w:sz w:val="24"/>
                <w:szCs w:val="24"/>
              </w:rPr>
              <w:t xml:space="preserve"> к Стандарту</w:t>
            </w:r>
            <w:r w:rsidRPr="00BA31D9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AF3024" w:rsidRPr="00BA31D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F3024" w:rsidRPr="00BA31D9">
              <w:rPr>
                <w:b/>
                <w:sz w:val="24"/>
                <w:szCs w:val="24"/>
              </w:rPr>
              <w:t xml:space="preserve"> Метод приведенной стоимости будущих денежных потоков</w:t>
            </w:r>
          </w:p>
        </w:tc>
      </w:tr>
      <w:tr w:rsidR="00832901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6" w:rsidRPr="00BA31D9" w:rsidRDefault="002179E6" w:rsidP="00BA31D9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459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Приведенная стоимость будущих денежных потоков рассчитывается по формуле: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 w:firstLine="567"/>
              <w:rPr>
                <w:rFonts w:eastAsia="Batang"/>
                <w:color w:val="000000"/>
                <w:szCs w:val="24"/>
              </w:rPr>
            </w:pPr>
            <m:oMathPara>
              <m:oMath>
                <m:r>
                  <w:rPr>
                    <w:rFonts w:ascii="Cambria Math" w:eastAsia="Batang" w:hAnsi="Cambria Math"/>
                    <w:color w:val="000000"/>
                    <w:szCs w:val="24"/>
                  </w:rPr>
                  <m:t>PV=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Batang" w:hAnsi="Cambria Math"/>
                        <w:i/>
                        <w:color w:val="00000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Batang" w:hAnsi="Cambria Math"/>
                        <w:color w:val="000000"/>
                        <w:szCs w:val="24"/>
                      </w:rPr>
                      <m:t>n=1</m:t>
                    </m:r>
                  </m:sub>
                  <m:sup>
                    <m:r>
                      <w:rPr>
                        <w:rFonts w:ascii="Cambria Math" w:eastAsia="Batang" w:hAnsi="Cambria Math"/>
                        <w:color w:val="000000"/>
                        <w:szCs w:val="24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Batang" w:hAnsi="Cambria Math"/>
                            <w:i/>
                            <w:color w:val="000000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Batang" w:hAnsi="Cambria Math"/>
                                <w:i/>
                                <w:color w:val="00000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/>
                                <w:color w:val="000000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/>
                                <w:color w:val="000000"/>
                                <w:szCs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Batang" w:hAnsi="Cambria Math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Batang" w:hAnsi="Cambria Math"/>
                                <w:color w:val="000000"/>
                                <w:szCs w:val="24"/>
                              </w:rPr>
                              <m:t>(1+r)</m:t>
                            </m:r>
                          </m:e>
                          <m:sup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="Batang" w:hAnsi="Cambria Math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Batang" w:hAnsi="Cambria Math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Batang" w:hAnsi="Cambria Math"/>
                                        <w:color w:val="000000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Batang" w:hAnsi="Cambria Math"/>
                                        <w:color w:val="000000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="Batang" w:hAnsi="Cambria Math"/>
                                    <w:color w:val="000000"/>
                                    <w:szCs w:val="24"/>
                                  </w:rPr>
                                  <m:t>365</m:t>
                                </m:r>
                              </m:den>
                            </m:f>
                          </m:sup>
                        </m:sSup>
                      </m:den>
                    </m:f>
                    <m:r>
                      <w:rPr>
                        <w:rFonts w:ascii="Cambria Math" w:eastAsia="Batang" w:hAnsi="Cambria Math"/>
                        <w:color w:val="000000"/>
                        <w:szCs w:val="24"/>
                      </w:rPr>
                      <m:t xml:space="preserve">                    (1)</m:t>
                    </m:r>
                  </m:e>
                </m:nary>
              </m:oMath>
            </m:oMathPara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PV – справедливая стоимость актива (обязательства);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N - количество денежных потоков до даты погашения актива (обязательства), начиная с даты определения СЧА;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9.5pt" o:ole="">
                  <v:imagedata r:id="rId8" o:title=""/>
                </v:shape>
                <o:OLEObject Type="Embed" ProgID="Equation.3" ShapeID="_x0000_i1025" DrawAspect="Content" ObjectID="_1630410163" r:id="rId9"/>
              </w:object>
            </w:r>
            <w:r w:rsidRPr="00BA31D9">
              <w:rPr>
                <w:rFonts w:eastAsia="Batang"/>
                <w:color w:val="000000"/>
                <w:szCs w:val="24"/>
              </w:rPr>
              <w:t xml:space="preserve">  - сумма n-ого денежного потока (проценты и основная сумма); 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n - порядковый номер денежного потока, начиная с даты определения СЧА;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object w:dxaOrig="340" w:dyaOrig="360">
                <v:shape id="_x0000_i1026" type="#_x0000_t75" style="width:17.25pt;height:19.5pt" o:ole="">
                  <v:imagedata r:id="rId10" o:title=""/>
                </v:shape>
                <o:OLEObject Type="Embed" ProgID="Equation.3" ShapeID="_x0000_i1026" DrawAspect="Content" ObjectID="_1630410164" r:id="rId11"/>
              </w:object>
            </w:r>
            <w:r w:rsidRPr="00BA31D9">
              <w:rPr>
                <w:rFonts w:eastAsia="Batang"/>
                <w:color w:val="000000"/>
                <w:szCs w:val="24"/>
              </w:rPr>
              <w:t xml:space="preserve">  - количество дней от даты определения СЧА до даты n-ого денежного потока;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r  - ставка        дисконтирования    в   процентах   годовых, определенная в соответствии с настоящими Правилами.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Денежные потоки, включая процентный доход, рассчитываются в соответствии с условиями договора, датой денежного потока считается минимальная дата, в которую возможно  поступление денежных средств, соответствующая дате окончания n-ого периода (за исключением случаев досрочного погашения основного долга).</w:t>
            </w:r>
          </w:p>
          <w:p w:rsidR="002179E6" w:rsidRPr="00BA31D9" w:rsidRDefault="002179E6" w:rsidP="00BA31D9">
            <w:pPr>
              <w:pStyle w:val="10"/>
              <w:tabs>
                <w:tab w:val="left" w:pos="0"/>
              </w:tabs>
              <w:ind w:left="0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 xml:space="preserve">График денежных потоков корректируется в случае: </w:t>
            </w:r>
          </w:p>
          <w:p w:rsidR="002179E6" w:rsidRPr="00BA31D9" w:rsidRDefault="002179E6" w:rsidP="00BA31D9">
            <w:pPr>
              <w:pStyle w:val="10"/>
              <w:numPr>
                <w:ilvl w:val="0"/>
                <w:numId w:val="13"/>
              </w:numPr>
              <w:tabs>
                <w:tab w:val="left" w:pos="993"/>
              </w:tabs>
              <w:ind w:left="318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внесения изменений в договор (в т.ч. в части изменения ставки по договору, срока действия договора, периодичности или сроков выплаты процентных доходов);</w:t>
            </w:r>
          </w:p>
          <w:p w:rsidR="002179E6" w:rsidRPr="00BA31D9" w:rsidRDefault="002179E6" w:rsidP="00BA31D9">
            <w:pPr>
              <w:pStyle w:val="10"/>
              <w:numPr>
                <w:ilvl w:val="0"/>
                <w:numId w:val="13"/>
              </w:numPr>
              <w:tabs>
                <w:tab w:val="left" w:pos="993"/>
              </w:tabs>
              <w:ind w:left="318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 xml:space="preserve">изменения суммы основного долга (пополнения, частичного </w:t>
            </w:r>
            <w:r w:rsidRPr="00BA31D9">
              <w:rPr>
                <w:rFonts w:eastAsia="Batang"/>
                <w:color w:val="000000"/>
                <w:szCs w:val="24"/>
              </w:rPr>
              <w:lastRenderedPageBreak/>
              <w:t>погашения, если оно не было учтено графиком).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 w:firstLine="567"/>
              <w:rPr>
                <w:rFonts w:eastAsia="Batang"/>
                <w:strike/>
                <w:color w:val="000000"/>
                <w:szCs w:val="24"/>
              </w:rPr>
            </w:pPr>
            <w:r w:rsidRPr="00BA31D9">
              <w:rPr>
                <w:rFonts w:eastAsia="Batang"/>
                <w:strike/>
                <w:color w:val="000000"/>
                <w:szCs w:val="24"/>
              </w:rPr>
              <w:t>Тестирование на обесценение актива проводится согласно п.2.10 Стандарта.</w:t>
            </w:r>
          </w:p>
          <w:p w:rsidR="00832901" w:rsidRPr="00BA31D9" w:rsidRDefault="002179E6" w:rsidP="00BA31D9">
            <w:pPr>
              <w:pStyle w:val="10"/>
              <w:tabs>
                <w:tab w:val="left" w:pos="993"/>
              </w:tabs>
              <w:ind w:left="0" w:firstLine="567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Для учета в справедливой стоимости обесценения происходит корректировка величины ожидаемых денежных потоков (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color w:val="000000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Batang" w:hAnsi="Cambria Math"/>
                      <w:color w:val="000000"/>
                      <w:szCs w:val="24"/>
                    </w:rPr>
                    <m:t>n</m:t>
                  </m:r>
                </m:sub>
              </m:sSub>
            </m:oMath>
            <w:r w:rsidRPr="00BA31D9">
              <w:rPr>
                <w:rFonts w:eastAsia="Batang"/>
                <w:color w:val="000000"/>
                <w:szCs w:val="24"/>
              </w:rPr>
              <w:t xml:space="preserve">) и/или ставки дисконтирования. Порядок корректировки устанавливается Правилами определения СЧА.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6" w:rsidRPr="00BA31D9" w:rsidRDefault="002179E6" w:rsidP="00BA31D9">
            <w:pPr>
              <w:pStyle w:val="10"/>
              <w:numPr>
                <w:ilvl w:val="0"/>
                <w:numId w:val="15"/>
              </w:numPr>
              <w:tabs>
                <w:tab w:val="left" w:pos="993"/>
              </w:tabs>
              <w:ind w:left="486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lastRenderedPageBreak/>
              <w:t>Приведенная стоимость будущих денежных потоков рассчитывается по формуле: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 w:firstLine="567"/>
              <w:rPr>
                <w:rFonts w:eastAsia="Batang"/>
                <w:color w:val="000000"/>
                <w:szCs w:val="24"/>
              </w:rPr>
            </w:pPr>
            <m:oMathPara>
              <m:oMath>
                <m:r>
                  <w:rPr>
                    <w:rFonts w:ascii="Cambria Math" w:eastAsia="Batang" w:hAnsi="Cambria Math"/>
                    <w:color w:val="000000"/>
                    <w:szCs w:val="24"/>
                  </w:rPr>
                  <m:t>PV=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Batang" w:hAnsi="Cambria Math"/>
                        <w:i/>
                        <w:color w:val="00000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Batang" w:hAnsi="Cambria Math"/>
                        <w:color w:val="000000"/>
                        <w:szCs w:val="24"/>
                      </w:rPr>
                      <m:t>n=1</m:t>
                    </m:r>
                  </m:sub>
                  <m:sup>
                    <m:r>
                      <w:rPr>
                        <w:rFonts w:ascii="Cambria Math" w:eastAsia="Batang" w:hAnsi="Cambria Math"/>
                        <w:color w:val="000000"/>
                        <w:szCs w:val="24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Batang" w:hAnsi="Cambria Math"/>
                            <w:i/>
                            <w:color w:val="000000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Batang" w:hAnsi="Cambria Math"/>
                                <w:i/>
                                <w:color w:val="00000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/>
                                <w:color w:val="000000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/>
                                <w:color w:val="000000"/>
                                <w:szCs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Batang" w:hAnsi="Cambria Math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Batang" w:hAnsi="Cambria Math"/>
                                <w:color w:val="000000"/>
                                <w:szCs w:val="24"/>
                              </w:rPr>
                              <m:t>(1+r)</m:t>
                            </m:r>
                          </m:e>
                          <m:sup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="Batang" w:hAnsi="Cambria Math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Batang" w:hAnsi="Cambria Math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Batang" w:hAnsi="Cambria Math"/>
                                        <w:color w:val="000000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Batang" w:hAnsi="Cambria Math"/>
                                        <w:color w:val="000000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="Batang" w:hAnsi="Cambria Math"/>
                                    <w:color w:val="000000"/>
                                    <w:szCs w:val="24"/>
                                  </w:rPr>
                                  <m:t>365</m:t>
                                </m:r>
                              </m:den>
                            </m:f>
                          </m:sup>
                        </m:sSup>
                      </m:den>
                    </m:f>
                    <m:r>
                      <w:rPr>
                        <w:rFonts w:ascii="Cambria Math" w:eastAsia="Batang" w:hAnsi="Cambria Math"/>
                        <w:color w:val="000000"/>
                        <w:szCs w:val="24"/>
                      </w:rPr>
                      <m:t xml:space="preserve">                    (1)</m:t>
                    </m:r>
                  </m:e>
                </m:nary>
              </m:oMath>
            </m:oMathPara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PV – справедливая стоимость актива (обязательства);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N - количество денежных потоков до даты погашения актива (обязательства), начиная с даты определения СЧА;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object w:dxaOrig="279" w:dyaOrig="360">
                <v:shape id="_x0000_i1027" type="#_x0000_t75" style="width:13.5pt;height:19.5pt" o:ole="">
                  <v:imagedata r:id="rId8" o:title=""/>
                </v:shape>
                <o:OLEObject Type="Embed" ProgID="Equation.3" ShapeID="_x0000_i1027" DrawAspect="Content" ObjectID="_1630410165" r:id="rId12"/>
              </w:object>
            </w:r>
            <w:r w:rsidRPr="00BA31D9">
              <w:rPr>
                <w:rFonts w:eastAsia="Batang"/>
                <w:color w:val="000000"/>
                <w:szCs w:val="24"/>
              </w:rPr>
              <w:t xml:space="preserve">  - сумма n-ого денежного потока (проценты и основная сумма); 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n - порядковый номер денежного потока, начиная с даты определения СЧА;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object w:dxaOrig="340" w:dyaOrig="360">
                <v:shape id="_x0000_i1028" type="#_x0000_t75" style="width:17.25pt;height:19.5pt" o:ole="">
                  <v:imagedata r:id="rId10" o:title=""/>
                </v:shape>
                <o:OLEObject Type="Embed" ProgID="Equation.3" ShapeID="_x0000_i1028" DrawAspect="Content" ObjectID="_1630410166" r:id="rId13"/>
              </w:object>
            </w:r>
            <w:r w:rsidRPr="00BA31D9">
              <w:rPr>
                <w:rFonts w:eastAsia="Batang"/>
                <w:color w:val="000000"/>
                <w:szCs w:val="24"/>
              </w:rPr>
              <w:t xml:space="preserve">  - количество дней от даты определения СЧА до даты n-ого денежного потока;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r  - ставка        дисконтирования    в   процентах   годовых, определенная в соответствии с настоящими Правилами.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Денежные потоки, включая процентный доход, рассчитываются в соответствии с условиями договора, датой денежного потока считается минимальная дата, в которую возможно  поступление денежных средств, соответствующая дате окончания n-ого периода (за исключением случаев досрочного погашения основного долга).</w:t>
            </w:r>
          </w:p>
          <w:p w:rsidR="002179E6" w:rsidRPr="00BA31D9" w:rsidRDefault="002179E6" w:rsidP="00BA31D9">
            <w:pPr>
              <w:pStyle w:val="10"/>
              <w:tabs>
                <w:tab w:val="left" w:pos="0"/>
              </w:tabs>
              <w:ind w:left="0"/>
              <w:rPr>
                <w:rFonts w:eastAsia="Batang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 xml:space="preserve">График денежных потоков корректируется в случае: </w:t>
            </w:r>
          </w:p>
          <w:p w:rsidR="002179E6" w:rsidRPr="00BA31D9" w:rsidRDefault="002179E6" w:rsidP="00BA31D9">
            <w:pPr>
              <w:pStyle w:val="10"/>
              <w:numPr>
                <w:ilvl w:val="0"/>
                <w:numId w:val="13"/>
              </w:numPr>
              <w:tabs>
                <w:tab w:val="left" w:pos="993"/>
              </w:tabs>
              <w:ind w:left="318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внесения изменений в договор (в т.ч. в части изменения ставки по договору, срока действия договора, периодичности или сроков выплаты процентных доходов);</w:t>
            </w:r>
          </w:p>
          <w:p w:rsidR="002179E6" w:rsidRPr="00BA31D9" w:rsidRDefault="002179E6" w:rsidP="00BA31D9">
            <w:pPr>
              <w:pStyle w:val="10"/>
              <w:numPr>
                <w:ilvl w:val="0"/>
                <w:numId w:val="13"/>
              </w:numPr>
              <w:tabs>
                <w:tab w:val="left" w:pos="993"/>
              </w:tabs>
              <w:ind w:left="318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 xml:space="preserve">изменения суммы основного долга (пополнения, частичного </w:t>
            </w:r>
            <w:r w:rsidRPr="00BA31D9">
              <w:rPr>
                <w:rFonts w:eastAsia="Batang"/>
                <w:color w:val="000000"/>
                <w:szCs w:val="24"/>
              </w:rPr>
              <w:lastRenderedPageBreak/>
              <w:t>погашения, если оно не было учтено графиком).</w:t>
            </w:r>
          </w:p>
          <w:p w:rsidR="002179E6" w:rsidRPr="00BA31D9" w:rsidRDefault="002179E6" w:rsidP="00BA31D9">
            <w:pPr>
              <w:pStyle w:val="10"/>
              <w:tabs>
                <w:tab w:val="left" w:pos="993"/>
              </w:tabs>
              <w:ind w:left="0" w:firstLine="567"/>
              <w:rPr>
                <w:rFonts w:eastAsia="Batang"/>
                <w:color w:val="000000"/>
                <w:szCs w:val="24"/>
              </w:rPr>
            </w:pPr>
            <w:r w:rsidRPr="00BA31D9">
              <w:rPr>
                <w:rFonts w:eastAsia="Batang"/>
                <w:color w:val="000000"/>
                <w:szCs w:val="24"/>
              </w:rPr>
              <w:t>Для учета в справедливой стоимости обесценения происходит корректировка величины ожидаемых денежных потоков (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color w:val="000000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Batang" w:hAnsi="Cambria Math"/>
                      <w:color w:val="000000"/>
                      <w:szCs w:val="24"/>
                    </w:rPr>
                    <m:t>n</m:t>
                  </m:r>
                </m:sub>
              </m:sSub>
            </m:oMath>
            <w:r w:rsidRPr="00BA31D9">
              <w:rPr>
                <w:rFonts w:eastAsia="Batang"/>
                <w:color w:val="000000"/>
                <w:szCs w:val="24"/>
              </w:rPr>
              <w:t xml:space="preserve">) и/или ставки дисконтирования. Порядок корректировки устанавливается Правилами определения СЧА. </w:t>
            </w:r>
          </w:p>
          <w:p w:rsidR="00832901" w:rsidRPr="00BA31D9" w:rsidRDefault="00832901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509A" w:rsidRPr="00BA31D9" w:rsidTr="00A3101E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BA31D9" w:rsidRDefault="000228F8" w:rsidP="00BA31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31D9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Приложение 2 к Стандарту. </w:t>
            </w:r>
            <w:r w:rsidRPr="00BA31D9">
              <w:rPr>
                <w:b/>
                <w:sz w:val="24"/>
                <w:szCs w:val="24"/>
              </w:rPr>
              <w:t xml:space="preserve"> </w:t>
            </w:r>
            <w:r w:rsidR="0021509A" w:rsidRPr="00BA31D9">
              <w:rPr>
                <w:b/>
                <w:color w:val="000000" w:themeColor="text1"/>
                <w:sz w:val="24"/>
                <w:szCs w:val="24"/>
              </w:rPr>
              <w:t>4. Корректировка средневзвешенных ставок при изменении рыночных условий.</w:t>
            </w:r>
          </w:p>
        </w:tc>
      </w:tr>
      <w:tr w:rsidR="002179E6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6" w:rsidRPr="00BA31D9" w:rsidRDefault="002179E6" w:rsidP="00BA31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Управляющая компания должна проводить проверку на соответствие используемых рыночных («средневзвешенных») ставок и оцениваемого актива по уровню принимаемого риска</w:t>
            </w:r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BA31D9">
              <w:rPr>
                <w:b/>
                <w:strike/>
                <w:color w:val="000000" w:themeColor="text1"/>
                <w:sz w:val="24"/>
                <w:szCs w:val="24"/>
              </w:rPr>
              <w:t>в отношении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6" w:rsidRPr="00BA31D9" w:rsidRDefault="002179E6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Управляющая компания должна проводить проверку на соответствие используемых рыночных («средневзвешенных») ставок и оцениваемого актива по уровню принимаемого риска</w:t>
            </w:r>
            <w:r w:rsidR="00057EDD" w:rsidRPr="00BA31D9">
              <w:rPr>
                <w:color w:val="000000" w:themeColor="text1"/>
                <w:sz w:val="24"/>
                <w:szCs w:val="24"/>
              </w:rPr>
              <w:t>.</w:t>
            </w:r>
            <w:r w:rsidRPr="00BA31D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509A" w:rsidRPr="00BA31D9" w:rsidTr="00A3101E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BA31D9" w:rsidRDefault="00057EDD" w:rsidP="00BA31D9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A3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4 к Стандарту. 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09A" w:rsidRPr="00BA31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Приложение №1 к Модели №1  определения расчётной цены для российских долговых ценных бумаг,  номинированных в рублях</w:t>
            </w:r>
          </w:p>
        </w:tc>
      </w:tr>
      <w:tr w:rsidR="00AD6667" w:rsidRPr="00BA31D9" w:rsidTr="00A3101E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7" w:rsidRPr="00BA31D9" w:rsidRDefault="00AD6667" w:rsidP="00BA31D9">
            <w:pPr>
              <w:pStyle w:val="1"/>
              <w:numPr>
                <w:ilvl w:val="0"/>
                <w:numId w:val="0"/>
              </w:numPr>
              <w:spacing w:before="0"/>
              <w:ind w:firstLine="42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A31D9">
              <w:rPr>
                <w:rFonts w:ascii="Times New Roman" w:hAnsi="Times New Roman"/>
                <w:b w:val="0"/>
                <w:sz w:val="24"/>
                <w:szCs w:val="24"/>
              </w:rPr>
              <w:t>ТЕРМИНОЛОГИЯ</w:t>
            </w:r>
          </w:p>
        </w:tc>
      </w:tr>
      <w:tr w:rsidR="002179E6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Аналогичная облигация - облигация, относящаяся к тому же сегменту, что и оцениваемая бумага. 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Доходность к погашению - эффективная ставка доходности, рассчитанная к погашению.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Погашение - ближайшее досрочное (например, оферта) погашение (не частичное) облигации или погашение облигации в случае, если досрочное погашение не предусмотрено эмиссионными документами.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Приведенная стоимость денежных потоков на дату оценки рассчитывается по формуле:</w:t>
            </w:r>
          </w:p>
          <w:p w:rsidR="00924A8E" w:rsidRPr="00BA31D9" w:rsidRDefault="00924A8E" w:rsidP="00BA31D9">
            <w:pPr>
              <w:ind w:firstLine="426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PV=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(1+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365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nary>
              </m:oMath>
            </m:oMathPara>
          </w:p>
          <w:p w:rsidR="00924A8E" w:rsidRPr="00BA31D9" w:rsidRDefault="00924A8E" w:rsidP="00BA31D9">
            <w:pPr>
              <w:ind w:firstLine="426"/>
              <w:rPr>
                <w:i/>
                <w:sz w:val="24"/>
                <w:szCs w:val="24"/>
              </w:rPr>
            </w:pPr>
            <w:r w:rsidRPr="00BA31D9">
              <w:rPr>
                <w:i/>
                <w:sz w:val="24"/>
                <w:szCs w:val="24"/>
              </w:rPr>
              <w:t>где: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BA31D9">
              <w:rPr>
                <w:sz w:val="24"/>
                <w:szCs w:val="24"/>
              </w:rPr>
              <w:t xml:space="preserve"> - ставка дисконтирования;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BA31D9">
              <w:rPr>
                <w:sz w:val="24"/>
                <w:szCs w:val="24"/>
              </w:rPr>
              <w:t xml:space="preserve"> - количество оставшихся на дату оценки платежей </w:t>
            </w:r>
            <w:r w:rsidRPr="00BA31D9">
              <w:rPr>
                <w:sz w:val="24"/>
                <w:szCs w:val="24"/>
              </w:rPr>
              <w:lastRenderedPageBreak/>
              <w:t>процентов и/или основной суммы долга по договору (депозиту, долговой ценной бумаге);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величина i-го платежа;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дата i-го платежа;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дата оценки.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Сегментация облигаций в целях оценки осуществляется с использованием матричного подхода одновременно по рейтингу, сроку обращения и типу эмитента:</w:t>
            </w:r>
          </w:p>
          <w:p w:rsidR="00924A8E" w:rsidRPr="00BA31D9" w:rsidRDefault="00924A8E" w:rsidP="00BA31D9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Группировка по рейтингу эмитента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 xml:space="preserve"> (если эмитент имеет рейтинг нескольких рейтинговых агентств, то для группировки используется максимальный рейтинг):</w:t>
            </w:r>
          </w:p>
          <w:p w:rsidR="00924A8E" w:rsidRPr="000B64B3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>BBB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ab/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рейтинг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, 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не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 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ниже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 (BBB-) Standard &amp; Poor's, Fitch Ratings , (Baa3) Moody's Investors Service</w:t>
            </w:r>
          </w:p>
          <w:p w:rsidR="00924A8E" w:rsidRPr="000B64B3" w:rsidRDefault="00924A8E" w:rsidP="00BA31D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BB 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ab/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рейтинг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, 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не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 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ниже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 (BB-) Standard &amp; Poor's, Fitch Ratings , (Ba3) Moody's Investors Service, и не выше (BB+) Standard &amp; Poor's, Fitch Ratings , (Ba1) Moody's Investors Service</w:t>
            </w:r>
          </w:p>
          <w:p w:rsidR="00924A8E" w:rsidRPr="000B64B3" w:rsidRDefault="00924A8E" w:rsidP="00BA31D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>B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ab/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рейтинг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, 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не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 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ниже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 (B-) Standard &amp; Poor's, Fitch Ratings , (B3) Moody's Investors Service, и не выше (B+) Standard &amp; Poor's, Fitch Ratings , (B1) Moody's Investors Service</w:t>
            </w:r>
          </w:p>
          <w:p w:rsidR="00924A8E" w:rsidRPr="000B64B3" w:rsidRDefault="00924A8E" w:rsidP="00BA31D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>NR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ab/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рейтинг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, 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</w:rPr>
              <w:t>ниже</w:t>
            </w:r>
            <w:r w:rsidRPr="000B64B3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 xml:space="preserve"> (B-) Standard &amp; Poor's, Fitch Ratings , (B3) Moody's Investors Service или рейтинг отсутствует.</w:t>
            </w:r>
          </w:p>
          <w:p w:rsidR="00924A8E" w:rsidRPr="00BA31D9" w:rsidRDefault="00924A8E" w:rsidP="00BA31D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4A8E" w:rsidRPr="00BA31D9" w:rsidRDefault="00924A8E" w:rsidP="00BA31D9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Группировка по дюрации (DUR</w:t>
            </w:r>
            <w:r w:rsidRPr="00BA31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ATION</w:t>
            </w: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) облигации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Менее 1 года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ab/>
              <w:t>дюрация меньше или равна 365 дней;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От 1 до 3 лет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ab/>
              <w:t>дюрация больше 365 дней, но меньше или равна 1095 дней;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От 3 до 5 лет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ab/>
              <w:t>дюрация больше 1095 дней, но меньше или равна 1825 дней;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Более 5 лет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ab/>
              <w:t>дюрация больше 1825 дней.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24A8E" w:rsidRPr="00BA31D9" w:rsidRDefault="00924A8E" w:rsidP="00BA31D9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Группировка по типу эмитента: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- для облигации российских эмитентов, номинированные в рублях: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облигации;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Корпоративные облигации;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Муниципальные облигации и облигации субъектов РФ.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- для еврооблигации российских эмитентов: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Государственные еврооблигации;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Еврооблигации банков;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Еврооблигации нефинансовых организаций.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24A8E" w:rsidRPr="00BA31D9" w:rsidRDefault="00924A8E" w:rsidP="00BA31D9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Группировка по валюте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Эффективная ставка доходности долговой ценной бумаги от цены </w:t>
            </w:r>
            <w:r w:rsidRPr="00BA31D9">
              <w:rPr>
                <w:i/>
                <w:sz w:val="24"/>
                <w:szCs w:val="24"/>
              </w:rPr>
              <w:t xml:space="preserve">P </w:t>
            </w:r>
            <w:r w:rsidRPr="00BA31D9">
              <w:rPr>
                <w:sz w:val="24"/>
                <w:szCs w:val="24"/>
              </w:rPr>
              <w:t>определяется исходя из уравнения:</w:t>
            </w:r>
          </w:p>
          <w:p w:rsidR="00924A8E" w:rsidRPr="00BA31D9" w:rsidRDefault="00924A8E" w:rsidP="00BA31D9">
            <w:pPr>
              <w:ind w:firstLine="426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P+NKD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(1+YTM)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i-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365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nary>
              </m:oMath>
            </m:oMathPara>
          </w:p>
          <w:p w:rsidR="00924A8E" w:rsidRPr="00BA31D9" w:rsidRDefault="00924A8E" w:rsidP="00BA31D9">
            <w:pPr>
              <w:ind w:firstLine="426"/>
              <w:rPr>
                <w:i/>
                <w:sz w:val="24"/>
                <w:szCs w:val="24"/>
              </w:rPr>
            </w:pPr>
            <w:r w:rsidRPr="00BA31D9">
              <w:rPr>
                <w:i/>
                <w:sz w:val="24"/>
                <w:szCs w:val="24"/>
              </w:rPr>
              <w:t>где: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  <w:lang w:val="en-US"/>
              </w:rPr>
              <w:t>YTM</w:t>
            </w:r>
            <w:r w:rsidRPr="00BA31D9">
              <w:rPr>
                <w:sz w:val="24"/>
                <w:szCs w:val="24"/>
              </w:rPr>
              <w:t xml:space="preserve"> - искомая эффективная ставка доходности;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 w:rsidRPr="00BA31D9">
              <w:rPr>
                <w:sz w:val="24"/>
                <w:szCs w:val="24"/>
              </w:rPr>
              <w:t xml:space="preserve"> - цена, от которой рассчитывается эффективная ставка доходности долговой ценной бумаги;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NKD</m:t>
              </m:r>
            </m:oMath>
            <w:r w:rsidRPr="00BA31D9">
              <w:rPr>
                <w:sz w:val="24"/>
                <w:szCs w:val="24"/>
              </w:rPr>
              <w:t xml:space="preserve"> - накопленный купонный доход на дату оценки (прибавляется в том случае, если цена </w:t>
            </w:r>
            <w:r w:rsidRPr="00BA31D9">
              <w:rPr>
                <w:i/>
                <w:sz w:val="24"/>
                <w:szCs w:val="24"/>
                <w:lang w:val="en-US"/>
              </w:rPr>
              <w:t>P</w:t>
            </w:r>
            <w:r w:rsidRPr="00BA31D9">
              <w:rPr>
                <w:i/>
                <w:sz w:val="24"/>
                <w:szCs w:val="24"/>
              </w:rPr>
              <w:t xml:space="preserve"> </w:t>
            </w:r>
            <w:r w:rsidRPr="00BA31D9">
              <w:rPr>
                <w:sz w:val="24"/>
                <w:szCs w:val="24"/>
              </w:rPr>
              <w:t>не включает НКД);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BA31D9">
              <w:rPr>
                <w:sz w:val="24"/>
                <w:szCs w:val="24"/>
              </w:rPr>
              <w:t xml:space="preserve"> - количество оставшихся на дату оценки платежей процентов и/или основной суммы долга по долговой ценной бумаге;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величина </w:t>
            </w:r>
            <w:r w:rsidR="00924A8E" w:rsidRPr="00BA31D9">
              <w:rPr>
                <w:i/>
                <w:sz w:val="24"/>
                <w:szCs w:val="24"/>
              </w:rPr>
              <w:t>i</w:t>
            </w:r>
            <w:r w:rsidR="00924A8E" w:rsidRPr="00BA31D9">
              <w:rPr>
                <w:sz w:val="24"/>
                <w:szCs w:val="24"/>
              </w:rPr>
              <w:t>-го платежа;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дата </w:t>
            </w:r>
            <w:r w:rsidR="00924A8E" w:rsidRPr="00BA31D9">
              <w:rPr>
                <w:i/>
                <w:sz w:val="24"/>
                <w:szCs w:val="24"/>
              </w:rPr>
              <w:t>i</w:t>
            </w:r>
            <w:r w:rsidR="00924A8E" w:rsidRPr="00BA31D9">
              <w:rPr>
                <w:sz w:val="24"/>
                <w:szCs w:val="24"/>
              </w:rPr>
              <w:t>-го платежа;</w:t>
            </w:r>
          </w:p>
          <w:p w:rsidR="002179E6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дата оценки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lastRenderedPageBreak/>
              <w:t xml:space="preserve">Аналогичная облигация - облигация, относящаяся к тому же сегменту, что и оцениваемая бумага. 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Доходность к погашению - эффективная ставка доходности, рассчитанная к погашению.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Погашение - ближайшее досрочное (например, оферта) погашение (не частичное) облигации или погашение облигации в случае, если досрочное погашение не предусмотрено эмиссионными документами.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Приведенная стоимость денежных потоков на дату оценки рассчитывается по формуле:</w:t>
            </w:r>
          </w:p>
          <w:p w:rsidR="00924A8E" w:rsidRPr="00BA31D9" w:rsidRDefault="00924A8E" w:rsidP="00BA31D9">
            <w:pPr>
              <w:ind w:firstLine="426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PV=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(1+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365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nary>
              </m:oMath>
            </m:oMathPara>
          </w:p>
          <w:p w:rsidR="00924A8E" w:rsidRPr="00BA31D9" w:rsidRDefault="00924A8E" w:rsidP="00BA31D9">
            <w:pPr>
              <w:ind w:firstLine="426"/>
              <w:rPr>
                <w:i/>
                <w:sz w:val="24"/>
                <w:szCs w:val="24"/>
              </w:rPr>
            </w:pPr>
            <w:r w:rsidRPr="00BA31D9">
              <w:rPr>
                <w:i/>
                <w:sz w:val="24"/>
                <w:szCs w:val="24"/>
              </w:rPr>
              <w:t>где: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BA31D9">
              <w:rPr>
                <w:sz w:val="24"/>
                <w:szCs w:val="24"/>
              </w:rPr>
              <w:t xml:space="preserve"> - ставка дисконтирования;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BA31D9">
              <w:rPr>
                <w:sz w:val="24"/>
                <w:szCs w:val="24"/>
              </w:rPr>
              <w:t xml:space="preserve"> - количество оставшихся на дату оценки платежей </w:t>
            </w:r>
            <w:r w:rsidRPr="00BA31D9">
              <w:rPr>
                <w:sz w:val="24"/>
                <w:szCs w:val="24"/>
              </w:rPr>
              <w:lastRenderedPageBreak/>
              <w:t>процентов и/или основной суммы долга по договору (депозиту, долговой ценной бумаге);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величина i-го платежа;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дата i-го платежа;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дата оценки.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Сегментация облигаций в целях оценки осуществляется с использованием матричного подхода одновременно по рейтингу, сроку обращения и типу эмитента:</w:t>
            </w:r>
          </w:p>
          <w:p w:rsidR="00924A8E" w:rsidRPr="00BA31D9" w:rsidRDefault="00924A8E" w:rsidP="000B64B3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Группировка по рейтингу эмитента (если эмитент имеет рейтинг нескольких рейтинговых агентств, то для группировки исп</w:t>
            </w:r>
            <w:r w:rsidR="000B64B3">
              <w:rPr>
                <w:rFonts w:ascii="Times New Roman" w:hAnsi="Times New Roman"/>
                <w:sz w:val="24"/>
                <w:szCs w:val="24"/>
              </w:rPr>
              <w:t xml:space="preserve">ользуется максимальный рейтинг) </w:t>
            </w:r>
            <w:r w:rsidR="000B64B3" w:rsidRPr="000B64B3">
              <w:rPr>
                <w:rFonts w:ascii="Times New Roman" w:hAnsi="Times New Roman"/>
                <w:b/>
                <w:sz w:val="24"/>
                <w:szCs w:val="24"/>
              </w:rPr>
              <w:t>устанавливается в Правилах определения СЧА.</w:t>
            </w:r>
            <w:r w:rsidR="000B64B3" w:rsidRPr="00BA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1EC" w:rsidRPr="00BA31D9" w:rsidRDefault="000F61EC" w:rsidP="00BA31D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BA31D9">
              <w:rPr>
                <w:rFonts w:ascii="Times New Roman" w:hAnsi="Times New Roman"/>
                <w:b/>
                <w:sz w:val="24"/>
                <w:szCs w:val="24"/>
              </w:rPr>
              <w:t>Рейтинги пересматриваются в зависимости от изменения рейтинга Российской Федерации.</w:t>
            </w:r>
          </w:p>
          <w:p w:rsidR="000F61EC" w:rsidRPr="00BA31D9" w:rsidRDefault="000F61EC" w:rsidP="00BA31D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24A8E" w:rsidRPr="00BA31D9" w:rsidRDefault="00924A8E" w:rsidP="000B64B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Группировка по дюрации (DUR</w:t>
            </w:r>
            <w:r w:rsidRPr="00BA31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ATION</w:t>
            </w: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) облигации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Менее 1 года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ab/>
              <w:t>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От 1 до 3 лет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ab/>
              <w:t>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От 3 до 5 лет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ab/>
              <w:t>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Более 5 лет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:rsidR="00924A8E" w:rsidRDefault="00925E00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целей группировки, дюрация облигации считается в годах и округляется до целого числа по правилам математического округления.</w:t>
            </w:r>
          </w:p>
          <w:p w:rsidR="00925E00" w:rsidRPr="00BA31D9" w:rsidRDefault="00925E00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24A8E" w:rsidRPr="00BA31D9" w:rsidRDefault="00924A8E" w:rsidP="000B64B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Группировка по типу эмитента: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- для облигации российских эмитентов, номинированные в рублях: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Государственные облигации;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Корпоративные облигации;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Муниципальные облигации и облигации субъектов РФ.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- для еврооблигации российских эмитентов: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Государственные еврооблигации;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Еврооблигации банков;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lastRenderedPageBreak/>
              <w:t>Еврооблигации нефинансовых организаций.</w:t>
            </w:r>
          </w:p>
          <w:p w:rsidR="00924A8E" w:rsidRPr="00BA31D9" w:rsidRDefault="00924A8E" w:rsidP="00BA31D9">
            <w:pPr>
              <w:pStyle w:val="ab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24A8E" w:rsidRPr="00BA31D9" w:rsidRDefault="00924A8E" w:rsidP="000B64B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i/>
                <w:sz w:val="24"/>
                <w:szCs w:val="24"/>
              </w:rPr>
              <w:t>Группировка по валюте</w:t>
            </w:r>
            <w:r w:rsidRPr="00BA3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Эффективная ставка доходности долговой ценной бумаги от цены </w:t>
            </w:r>
            <w:r w:rsidRPr="00BA31D9">
              <w:rPr>
                <w:i/>
                <w:sz w:val="24"/>
                <w:szCs w:val="24"/>
              </w:rPr>
              <w:t xml:space="preserve">P </w:t>
            </w:r>
            <w:r w:rsidRPr="00BA31D9">
              <w:rPr>
                <w:sz w:val="24"/>
                <w:szCs w:val="24"/>
              </w:rPr>
              <w:t>определяется исходя из уравнения:</w:t>
            </w:r>
          </w:p>
          <w:p w:rsidR="00924A8E" w:rsidRPr="00BA31D9" w:rsidRDefault="00924A8E" w:rsidP="00BA31D9">
            <w:pPr>
              <w:ind w:firstLine="426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P+NKD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(1+YTM)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i-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365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nary>
              </m:oMath>
            </m:oMathPara>
          </w:p>
          <w:p w:rsidR="00924A8E" w:rsidRPr="00BA31D9" w:rsidRDefault="00924A8E" w:rsidP="00BA31D9">
            <w:pPr>
              <w:ind w:firstLine="426"/>
              <w:rPr>
                <w:i/>
                <w:sz w:val="24"/>
                <w:szCs w:val="24"/>
              </w:rPr>
            </w:pPr>
            <w:r w:rsidRPr="00BA31D9">
              <w:rPr>
                <w:i/>
                <w:sz w:val="24"/>
                <w:szCs w:val="24"/>
              </w:rPr>
              <w:t>где: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  <w:lang w:val="en-US"/>
              </w:rPr>
              <w:t>YTM</w:t>
            </w:r>
            <w:r w:rsidRPr="00BA31D9">
              <w:rPr>
                <w:sz w:val="24"/>
                <w:szCs w:val="24"/>
              </w:rPr>
              <w:t xml:space="preserve"> - искомая эффективная ставка доходности;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 w:rsidRPr="00BA31D9">
              <w:rPr>
                <w:sz w:val="24"/>
                <w:szCs w:val="24"/>
              </w:rPr>
              <w:t xml:space="preserve"> - цена, от которой рассчитывается эффективная ставка доходности долговой ценной бумаги;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NKD</m:t>
              </m:r>
            </m:oMath>
            <w:r w:rsidRPr="00BA31D9">
              <w:rPr>
                <w:sz w:val="24"/>
                <w:szCs w:val="24"/>
              </w:rPr>
              <w:t xml:space="preserve"> - накопленный купонный доход на дату оценки (прибавляется в том случае, если цена </w:t>
            </w:r>
            <w:r w:rsidRPr="00BA31D9">
              <w:rPr>
                <w:i/>
                <w:sz w:val="24"/>
                <w:szCs w:val="24"/>
                <w:lang w:val="en-US"/>
              </w:rPr>
              <w:t>P</w:t>
            </w:r>
            <w:r w:rsidRPr="00BA31D9">
              <w:rPr>
                <w:i/>
                <w:sz w:val="24"/>
                <w:szCs w:val="24"/>
              </w:rPr>
              <w:t xml:space="preserve"> </w:t>
            </w:r>
            <w:r w:rsidRPr="00BA31D9">
              <w:rPr>
                <w:sz w:val="24"/>
                <w:szCs w:val="24"/>
              </w:rPr>
              <w:t>не включает НКД);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BA31D9">
              <w:rPr>
                <w:sz w:val="24"/>
                <w:szCs w:val="24"/>
              </w:rPr>
              <w:t xml:space="preserve"> - количество оставшихся на дату оценки платежей процентов и/или основной суммы долга по долговой ценной бумаге;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величина </w:t>
            </w:r>
            <w:r w:rsidR="00924A8E" w:rsidRPr="00BA31D9">
              <w:rPr>
                <w:i/>
                <w:sz w:val="24"/>
                <w:szCs w:val="24"/>
              </w:rPr>
              <w:t>i</w:t>
            </w:r>
            <w:r w:rsidR="00924A8E" w:rsidRPr="00BA31D9">
              <w:rPr>
                <w:sz w:val="24"/>
                <w:szCs w:val="24"/>
              </w:rPr>
              <w:t>-го платежа;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дата </w:t>
            </w:r>
            <w:r w:rsidR="00924A8E" w:rsidRPr="00BA31D9">
              <w:rPr>
                <w:i/>
                <w:sz w:val="24"/>
                <w:szCs w:val="24"/>
              </w:rPr>
              <w:t>i</w:t>
            </w:r>
            <w:r w:rsidR="00924A8E" w:rsidRPr="00BA31D9">
              <w:rPr>
                <w:sz w:val="24"/>
                <w:szCs w:val="24"/>
              </w:rPr>
              <w:t>-го платежа;</w:t>
            </w:r>
          </w:p>
          <w:p w:rsidR="00924A8E" w:rsidRPr="00BA31D9" w:rsidRDefault="00AC0144" w:rsidP="00BA31D9">
            <w:pPr>
              <w:ind w:firstLine="42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924A8E" w:rsidRPr="00BA31D9">
              <w:rPr>
                <w:sz w:val="24"/>
                <w:szCs w:val="24"/>
              </w:rPr>
              <w:t xml:space="preserve"> - дата оценки.</w:t>
            </w:r>
          </w:p>
          <w:p w:rsidR="002179E6" w:rsidRPr="00BA31D9" w:rsidRDefault="002179E6" w:rsidP="00BA31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79E6" w:rsidRPr="00BA31D9" w:rsidTr="00A3101E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7" w:rsidRPr="00BA31D9" w:rsidRDefault="00AD6667" w:rsidP="00BA31D9">
            <w:pPr>
              <w:tabs>
                <w:tab w:val="left" w:pos="306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31D9">
              <w:rPr>
                <w:b/>
                <w:color w:val="000000" w:themeColor="text1"/>
                <w:sz w:val="24"/>
                <w:szCs w:val="24"/>
              </w:rPr>
              <w:lastRenderedPageBreak/>
              <w:t>Приложение №4</w:t>
            </w:r>
            <w:r w:rsidR="00AF3024" w:rsidRPr="00BA31D9">
              <w:rPr>
                <w:b/>
                <w:color w:val="000000" w:themeColor="text1"/>
                <w:sz w:val="24"/>
                <w:szCs w:val="24"/>
              </w:rPr>
              <w:t xml:space="preserve"> к Стандарту</w:t>
            </w:r>
            <w:r w:rsidRPr="00BA31D9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2179E6" w:rsidRPr="00BA31D9" w:rsidRDefault="00924A8E" w:rsidP="00BA31D9">
            <w:pPr>
              <w:tabs>
                <w:tab w:val="left" w:pos="306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31D9">
              <w:rPr>
                <w:b/>
                <w:color w:val="000000" w:themeColor="text1"/>
                <w:sz w:val="24"/>
                <w:szCs w:val="24"/>
              </w:rPr>
              <w:t>Модель №2  определения расчётной цены для российских долговых ценных бумаг, номинированных в рублях, и еврооблигаций.</w:t>
            </w:r>
          </w:p>
        </w:tc>
      </w:tr>
      <w:tr w:rsidR="00AD6667" w:rsidRPr="00BA31D9" w:rsidTr="00A3101E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7" w:rsidRPr="00BA31D9" w:rsidRDefault="00AD6667" w:rsidP="00BA31D9">
            <w:pPr>
              <w:ind w:firstLine="426"/>
              <w:jc w:val="center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Рублевые облигации российских эмитентов</w:t>
            </w:r>
          </w:p>
        </w:tc>
      </w:tr>
      <w:tr w:rsidR="002179E6" w:rsidRPr="00C87794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E" w:rsidRPr="00BA31D9" w:rsidRDefault="00924A8E" w:rsidP="00BA31D9">
            <w:pPr>
              <w:ind w:firstLine="426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 xml:space="preserve">Уровень 2. В случае отсутствия активного рынка на дату оценки, а так же в случае, если основным рынком для облигации является внебиржевой рынок, справедливой ценой облигации </w:t>
            </w:r>
            <w:r w:rsidRPr="00BA31D9">
              <w:rPr>
                <w:color w:val="000000" w:themeColor="text1"/>
                <w:sz w:val="24"/>
                <w:szCs w:val="24"/>
              </w:rPr>
              <w:lastRenderedPageBreak/>
              <w:t>признается одна из следующих котировок (расположены в сторону уменьшения приоритетности)</w:t>
            </w:r>
            <w:r w:rsidR="007F6D4A" w:rsidRPr="00BA31D9">
              <w:rPr>
                <w:color w:val="000000" w:themeColor="text1"/>
                <w:sz w:val="24"/>
                <w:szCs w:val="24"/>
              </w:rPr>
              <w:t>: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1. Котировка, рассчитанная Ценовым центром НРД по Методике определения стоимости  справедливых цен рублевых облигаций (утверждена ЭС ЦЦ НРД 01.12.2017, Пред. Правления НРД 01.12.2017г.), далее – «Методика НРД для рублевых облигаций».</w:t>
            </w:r>
          </w:p>
          <w:p w:rsidR="00924A8E" w:rsidRPr="00BA31D9" w:rsidRDefault="00924A8E" w:rsidP="00BA31D9">
            <w:pPr>
              <w:ind w:firstLine="426"/>
              <w:rPr>
                <w:strike/>
                <w:sz w:val="24"/>
                <w:szCs w:val="24"/>
              </w:rPr>
            </w:pPr>
            <w:r w:rsidRPr="00BA31D9">
              <w:rPr>
                <w:strike/>
                <w:sz w:val="24"/>
                <w:szCs w:val="24"/>
              </w:rPr>
              <w:t>2. Котировка, рассчитанная Ценовым центром НРД по Методике определения справедливых цен НРД, далее – «Методика ОСЦ НРД».</w:t>
            </w:r>
          </w:p>
          <w:p w:rsidR="00924A8E" w:rsidRPr="00BA31D9" w:rsidRDefault="00924A8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3. Котировка, рассчитанная по методологиям определения справедливой стоимости </w:t>
            </w:r>
            <w:r w:rsidRPr="00BA31D9">
              <w:rPr>
                <w:sz w:val="24"/>
                <w:szCs w:val="24"/>
                <w:lang w:val="en-US"/>
              </w:rPr>
              <w:t>Thompson</w:t>
            </w:r>
            <w:r w:rsidRPr="00BA31D9">
              <w:rPr>
                <w:sz w:val="24"/>
                <w:szCs w:val="24"/>
              </w:rPr>
              <w:t xml:space="preserve"> </w:t>
            </w:r>
            <w:r w:rsidRPr="00BA31D9">
              <w:rPr>
                <w:sz w:val="24"/>
                <w:szCs w:val="24"/>
                <w:lang w:val="en-US"/>
              </w:rPr>
              <w:t>Reuters</w:t>
            </w:r>
            <w:r w:rsidRPr="00BA31D9">
              <w:rPr>
                <w:sz w:val="24"/>
                <w:szCs w:val="24"/>
              </w:rPr>
              <w:t xml:space="preserve"> (</w:t>
            </w:r>
            <w:r w:rsidRPr="00BA31D9">
              <w:rPr>
                <w:sz w:val="24"/>
                <w:szCs w:val="24"/>
                <w:lang w:val="en-US"/>
              </w:rPr>
              <w:t>Refinitiv</w:t>
            </w:r>
            <w:r w:rsidRPr="00BA31D9">
              <w:rPr>
                <w:sz w:val="24"/>
                <w:szCs w:val="24"/>
              </w:rPr>
              <w:t>)</w:t>
            </w:r>
          </w:p>
          <w:p w:rsidR="000F61EC" w:rsidRPr="00BA31D9" w:rsidRDefault="00924A8E" w:rsidP="00BA31D9">
            <w:pPr>
              <w:ind w:firstLine="426"/>
              <w:rPr>
                <w:strike/>
                <w:sz w:val="24"/>
                <w:szCs w:val="24"/>
              </w:rPr>
            </w:pPr>
            <w:r w:rsidRPr="00BA31D9">
              <w:rPr>
                <w:strike/>
                <w:sz w:val="24"/>
                <w:szCs w:val="24"/>
              </w:rPr>
              <w:t xml:space="preserve">4. </w:t>
            </w:r>
            <w:r w:rsidR="000F61EC" w:rsidRPr="00BA31D9">
              <w:rPr>
                <w:strike/>
                <w:sz w:val="24"/>
                <w:szCs w:val="24"/>
              </w:rPr>
              <w:t>4. Если для одного из 30 торговых дней, предшествующих дате расчета справедливой стоимости, имеется возможность определить справедливую стоимость с использованием котировок, применяемых для оценки по Уровню 1 (определяется LEGAL_CLOSE_PRICE при условии VOLUME &gt;0 при наличии активного рынка), применяется метод корректировки последней исторической цены по соответствующим ценовым облигационным индексам, ежедневно публикуемым Московской биржей (описание: www.moex.com/ru/index/RUABITR/about/): индекс государственных облигаций RGBI, индекс корпоративных облигаций MICEXCBICP, индекс муниципальных облигаций MICEXMBICP (кроме случаев, когда основным рынком для облигации является внебиржевой рынок).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1+E(R)</m:t>
                    </m:r>
                  </m:e>
                </m:d>
              </m:oMath>
            </m:oMathPara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Формула расчета ожидаемой доходности модели CAPM:</w:t>
            </w: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 xml:space="preserve">+β </m:t>
                </m:r>
                <m:d>
                  <m:d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  <w:p w:rsidR="000F61EC" w:rsidRPr="00BA31D9" w:rsidRDefault="00AC0144" w:rsidP="00BA31D9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>-1</m:t>
                </m:r>
              </m:oMath>
            </m:oMathPara>
          </w:p>
          <w:p w:rsidR="000F61EC" w:rsidRPr="00BA31D9" w:rsidRDefault="000F61EC" w:rsidP="00BA31D9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Параметры формул расчета справедливой стоимости, модели CAPM: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0F61EC" w:rsidRPr="00BA31D9">
              <w:rPr>
                <w:strike/>
                <w:color w:val="000000" w:themeColor="text1"/>
                <w:sz w:val="24"/>
                <w:szCs w:val="24"/>
              </w:rPr>
              <w:t>– справедливая стоимость одной ценной бумаги на дату определения справедливой стоимости;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0F61EC" w:rsidRPr="00BA31D9">
              <w:rPr>
                <w:strike/>
                <w:color w:val="000000" w:themeColor="text1"/>
                <w:sz w:val="24"/>
                <w:szCs w:val="24"/>
              </w:rPr>
              <w:t>– последняя определенная справедливая стоимость ценной бумаги;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0F61EC" w:rsidRPr="00BA31D9">
              <w:rPr>
                <w:strike/>
                <w:color w:val="000000" w:themeColor="text1"/>
                <w:sz w:val="24"/>
                <w:szCs w:val="24"/>
              </w:rPr>
              <w:t>– значение рыночного индикатора на дату определения справедливой стоимости;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0F61EC" w:rsidRPr="00BA31D9">
              <w:rPr>
                <w:strike/>
                <w:color w:val="000000" w:themeColor="text1"/>
                <w:sz w:val="24"/>
                <w:szCs w:val="24"/>
              </w:rPr>
              <w:t>– значение рыночного индикатора на предыдущую дату определения справедливой стоимости.</w:t>
            </w: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trike/>
                  <w:color w:val="000000" w:themeColor="text1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d>
            </m:oMath>
            <w:r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BA31D9">
              <w:rPr>
                <w:strike/>
                <w:color w:val="000000" w:themeColor="text1"/>
                <w:sz w:val="24"/>
                <w:szCs w:val="24"/>
              </w:rPr>
              <w:t>– ожидаемая доходность ценной бумаги;</w:t>
            </w: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trike/>
                  <w:color w:val="000000" w:themeColor="text1"/>
                  <w:sz w:val="24"/>
                  <w:szCs w:val="24"/>
                </w:rPr>
                <m:t>β</m:t>
              </m:r>
            </m:oMath>
            <w:r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– Бета коэффициент, рассчитанный по изменениям цен (значений) рыночного индикатора и изменениям цены ценной бумаги. Для расчета коэффициента </w:t>
            </w:r>
            <m:oMath>
              <m:r>
                <m:rPr>
                  <m:sty m:val="p"/>
                </m:rPr>
                <w:rPr>
                  <w:rFonts w:ascii="Cambria Math" w:hAnsi="Cambria Math"/>
                  <w:strike/>
                  <w:color w:val="000000" w:themeColor="text1"/>
                  <w:sz w:val="24"/>
                  <w:szCs w:val="24"/>
                </w:rPr>
                <m:t xml:space="preserve"> β</m:t>
              </m:r>
            </m:oMath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 используются значения, определенные за последние 45 торговых дней, предшествующих дате определения справедливой стоимости;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- </w:t>
            </w:r>
            <w:r w:rsidR="000F61EC" w:rsidRPr="00BA31D9">
              <w:rPr>
                <w:strike/>
                <w:color w:val="000000" w:themeColor="text1"/>
                <w:sz w:val="24"/>
                <w:szCs w:val="24"/>
              </w:rPr>
              <w:t>доходность рыночного индикатора;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0F61EC" w:rsidRPr="00BA31D9">
              <w:rPr>
                <w:strike/>
                <w:color w:val="000000" w:themeColor="text1"/>
                <w:sz w:val="24"/>
                <w:szCs w:val="24"/>
              </w:rPr>
              <w:t>– Risk-free Rate – безрисковая ставка доходности;</w:t>
            </w: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br/>
              <w:t>–</w:t>
            </w: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Безрисковая ставка доходности определяется на дату определенная справедливой стоимости. Безрисковая ставка доходности приводится к количеству календарных дней между датами ее расчета по формуле:</w:t>
            </w:r>
          </w:p>
          <w:p w:rsidR="000F61EC" w:rsidRPr="00BA31D9" w:rsidRDefault="00AC0144" w:rsidP="00BA31D9">
            <w:pPr>
              <w:rPr>
                <w:strike/>
                <w:color w:val="000000" w:themeColor="text1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trike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  <w:lang w:val="en-US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trike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  <w:lang w:val="en-US"/>
                      </w:rPr>
                      <m:t>/365</m:t>
                    </m:r>
                  </m:e>
                </m:d>
                <m: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  <w:lang w:val="en-US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trike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где:</w:t>
            </w:r>
            <w:r w:rsidRPr="00BA31D9">
              <w:rPr>
                <w:strike/>
                <w:color w:val="000000" w:themeColor="text1"/>
                <w:sz w:val="24"/>
                <w:szCs w:val="24"/>
              </w:rPr>
              <w:br/>
              <w:t xml:space="preserve">где </w:t>
            </w:r>
            <m:oMath>
              <m:d>
                <m:d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trike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trike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oMath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 - количество календарных дней между указанными датами.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0F61EC" w:rsidRPr="00BA31D9">
              <w:rPr>
                <w:strike/>
                <w:color w:val="000000" w:themeColor="text1"/>
                <w:sz w:val="24"/>
                <w:szCs w:val="24"/>
              </w:rPr>
              <w:t>–дата определения справедливой стоимости;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0F61EC" w:rsidRPr="00BA31D9">
              <w:rPr>
                <w:strike/>
                <w:color w:val="000000" w:themeColor="text1"/>
                <w:sz w:val="24"/>
                <w:szCs w:val="24"/>
              </w:rPr>
              <w:t>– предыдущая дата определения справедливой стоимости.</w:t>
            </w:r>
          </w:p>
          <w:p w:rsidR="000F61EC" w:rsidRPr="00BA31D9" w:rsidRDefault="000F61EC" w:rsidP="00BA31D9">
            <w:pPr>
              <w:ind w:firstLine="708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Для облигаций российских эмитентов, торгуемых на Московской Бирже, безрисковая ставка доходности – ставка, </w:t>
            </w:r>
            <w:r w:rsidRPr="00BA31D9">
              <w:rPr>
                <w:strike/>
                <w:color w:val="000000" w:themeColor="text1"/>
                <w:sz w:val="24"/>
                <w:szCs w:val="24"/>
              </w:rPr>
              <w:lastRenderedPageBreak/>
              <w:t>определенная в соответствии со значением кривой бескупонной доходности (ставка КБД) государственных ценных бумаг на интервале в один год. В расчете используются:</w:t>
            </w:r>
          </w:p>
          <w:p w:rsidR="000F61EC" w:rsidRPr="00BA31D9" w:rsidRDefault="000F61EC" w:rsidP="00BA31D9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методика расчёта кривой бескупонной доходности государственных облигаций, определенная Московской биржей;</w:t>
            </w:r>
          </w:p>
          <w:p w:rsidR="000F61EC" w:rsidRPr="00BA31D9" w:rsidRDefault="000F61EC" w:rsidP="00BA31D9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динамические параметры G-кривой по состоянию на каждый торговый день, публикуемые на официальном сайте Московской биржи.</w:t>
            </w:r>
          </w:p>
          <w:p w:rsidR="000F61EC" w:rsidRPr="00BA31D9" w:rsidRDefault="000F61EC" w:rsidP="00BA31D9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Ставка КБД рассчитывается без промежуточных округлений с точностью до 2 знаков после запятой (в процентном выражении).</w:t>
            </w:r>
            <w:r w:rsidRPr="00BA31D9">
              <w:rPr>
                <w:strike/>
                <w:color w:val="000000" w:themeColor="text1"/>
                <w:sz w:val="24"/>
                <w:szCs w:val="24"/>
              </w:rPr>
              <w:br/>
            </w: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Бета коэффициент - β</w:t>
            </w: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>β=</m:t>
                </m:r>
                <m:f>
                  <m:f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 xml:space="preserve">Covariance </m:t>
                    </m:r>
                    <m:d>
                      <m:d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 xml:space="preserve"> 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m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 xml:space="preserve">Variance </m:t>
                    </m:r>
                    <m:d>
                      <m:d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m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Pa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Pa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  <m:t>i-1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-1,  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trike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Pm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color w:val="000000" w:themeColor="text1"/>
                            <w:sz w:val="24"/>
                            <w:szCs w:val="24"/>
                          </w:rPr>
                          <m:t>i-1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trike/>
                    <w:color w:val="000000" w:themeColor="text1"/>
                    <w:sz w:val="24"/>
                    <w:szCs w:val="24"/>
                  </w:rPr>
                  <m:t xml:space="preserve">-1 </m:t>
                </m:r>
              </m:oMath>
            </m:oMathPara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a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- доходность актива;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Pa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i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– цена закрытия актива на дату </w:t>
            </w:r>
            <m:oMath>
              <m:r>
                <m:rPr>
                  <m:sty m:val="p"/>
                </m:rPr>
                <w:rPr>
                  <w:rFonts w:ascii="Cambria Math" w:hAnsi="Cambria Math"/>
                  <w:strike/>
                  <w:color w:val="000000" w:themeColor="text1"/>
                  <w:sz w:val="24"/>
                  <w:szCs w:val="24"/>
                </w:rPr>
                <m:t>i</m:t>
              </m:r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>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Pa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i-1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– предыдущая цена закрытия актива;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- доходность рыночного индикатора;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i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– значение рыночного индикатора на дату </w:t>
            </w:r>
            <m:oMath>
              <m:r>
                <m:rPr>
                  <m:sty m:val="p"/>
                </m:rPr>
                <w:rPr>
                  <w:rFonts w:ascii="Cambria Math" w:hAnsi="Cambria Math"/>
                  <w:strike/>
                  <w:color w:val="000000" w:themeColor="text1"/>
                  <w:sz w:val="24"/>
                  <w:szCs w:val="24"/>
                </w:rPr>
                <m:t>i</m:t>
              </m:r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>;</w:t>
            </w:r>
          </w:p>
          <w:p w:rsidR="000F61EC" w:rsidRPr="00BA31D9" w:rsidRDefault="00AC0144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i-1</m:t>
                  </m:r>
                </m:sub>
              </m:sSub>
            </m:oMath>
            <w:r w:rsidR="000F61EC" w:rsidRPr="00BA31D9" w:rsidDel="000A4E16">
              <w:rPr>
                <w:strike/>
                <w:color w:val="000000" w:themeColor="text1"/>
                <w:sz w:val="24"/>
                <w:szCs w:val="24"/>
              </w:rPr>
              <w:t xml:space="preserve"> – предыдущее значение рыночного индикатора;</w:t>
            </w: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trike/>
                  <w:color w:val="000000" w:themeColor="text1"/>
                  <w:sz w:val="24"/>
                  <w:szCs w:val="24"/>
                </w:rPr>
                <m:t>i=1…N</m:t>
              </m:r>
            </m:oMath>
            <w:r w:rsidRPr="00BA31D9" w:rsidDel="000A4E16">
              <w:rPr>
                <w:strike/>
                <w:color w:val="000000" w:themeColor="text1"/>
                <w:sz w:val="24"/>
                <w:szCs w:val="24"/>
              </w:rPr>
              <w:t>, торговые дни, предшествующие дате определения справедливой стоимости. Для расчета доходности актива и рыночного индикатора (бенчмарка), используются значения цены закрытия и рыночного индикатора за последние 45 торговых дней, предшествующие дате определения справедливой стоимости.</w:t>
            </w:r>
          </w:p>
          <w:p w:rsidR="000F61EC" w:rsidRPr="00BA31D9" w:rsidRDefault="000F61EC" w:rsidP="00BA31D9">
            <w:pPr>
              <w:ind w:firstLine="708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Бета коэффициент рассчитывается на дату, предшествующую дате определения справедливой стоимости. При этом дата расчета Бета коэффициента должна являться торговым </w:t>
            </w:r>
            <w:r w:rsidRPr="00BA31D9">
              <w:rPr>
                <w:strike/>
                <w:color w:val="000000" w:themeColor="text1"/>
                <w:sz w:val="24"/>
                <w:szCs w:val="24"/>
              </w:rPr>
              <w:lastRenderedPageBreak/>
              <w:t>днем.</w:t>
            </w:r>
          </w:p>
          <w:p w:rsidR="000F61EC" w:rsidRPr="00BA31D9" w:rsidRDefault="000F61EC" w:rsidP="00BA31D9">
            <w:pPr>
              <w:ind w:firstLine="360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Полученное значение Бета коэффициента округляется по правилам математического округления до пяти десятичных знаков.</w:t>
            </w:r>
          </w:p>
          <w:p w:rsidR="000F61EC" w:rsidRPr="00BA31D9" w:rsidRDefault="000F61EC" w:rsidP="00BA31D9">
            <w:pPr>
              <w:ind w:left="360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Показатели </w:t>
            </w: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a</m:t>
                  </m:r>
                </m:sub>
              </m:sSub>
            </m:oMath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</m:oMath>
            <w:r w:rsidRPr="00BA31D9">
              <w:rPr>
                <w:strike/>
                <w:color w:val="000000" w:themeColor="text1"/>
                <w:sz w:val="24"/>
                <w:szCs w:val="24"/>
              </w:rPr>
              <w:t xml:space="preserve"> рассчитываются без промежуточных округлений.</w:t>
            </w:r>
          </w:p>
          <w:p w:rsidR="000F61EC" w:rsidRPr="00BA31D9" w:rsidRDefault="000F61EC" w:rsidP="00BA31D9">
            <w:pPr>
              <w:rPr>
                <w:strike/>
                <w:color w:val="000000" w:themeColor="text1"/>
                <w:sz w:val="24"/>
                <w:szCs w:val="24"/>
              </w:rPr>
            </w:pPr>
          </w:p>
          <w:p w:rsidR="000F61EC" w:rsidRPr="00BA31D9" w:rsidRDefault="000F61EC" w:rsidP="00BA31D9">
            <w:pPr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Прочие условия:</w:t>
            </w:r>
          </w:p>
          <w:p w:rsidR="000F61EC" w:rsidRPr="00BA31D9" w:rsidRDefault="000F61EC" w:rsidP="00BA31D9">
            <w:pPr>
              <w:ind w:firstLine="708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Цена закрытия актива на дату определения справедливой стоимости в модели не учитывается.</w:t>
            </w:r>
          </w:p>
          <w:p w:rsidR="000F61EC" w:rsidRPr="00BA31D9" w:rsidRDefault="000F61EC" w:rsidP="00BA31D9">
            <w:pPr>
              <w:ind w:firstLine="708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При отсутствии цены закрытия в какой-либо торговый день в периоде 45 торговых дней, на дату расчета коэффициента Бета, информация о значении рыночного индикатора (бенчмарка) и безрисковой ставки за этот торговый день в модели не учитывается.</w:t>
            </w:r>
          </w:p>
          <w:p w:rsidR="000F61EC" w:rsidRPr="00BA31D9" w:rsidRDefault="000F61EC" w:rsidP="00BA31D9">
            <w:pPr>
              <w:ind w:firstLine="708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При наличии цены закрытия и отсутствии значения рыночного индикатора (бенчмарка) в какой-либо торговый день в периоде 45 торговых дней, на дату расчета коэффициента Бета, значение рыночного индикатора (бенчмарка) за этот торговый день принимается равным последнему известному.</w:t>
            </w:r>
          </w:p>
          <w:p w:rsidR="000F61EC" w:rsidRPr="00BA31D9" w:rsidRDefault="000F61EC" w:rsidP="00BA31D9">
            <w:pPr>
              <w:ind w:firstLine="708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При отсутствии значения безрисковой ставки на дату расчета, значение безрисковой ставки за этот день принимается равным последнему известному.</w:t>
            </w:r>
          </w:p>
          <w:p w:rsidR="000F61EC" w:rsidRPr="00BA31D9" w:rsidRDefault="000F61EC" w:rsidP="00BA31D9">
            <w:pPr>
              <w:ind w:firstLine="708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strike/>
                <w:color w:val="000000" w:themeColor="text1"/>
                <w:sz w:val="24"/>
                <w:szCs w:val="24"/>
              </w:rPr>
              <w:t>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биржи, которая определена на дату возникновения оснований для применения модели CAPM. К такой информации относится следующие значения:</w:t>
            </w:r>
          </w:p>
          <w:p w:rsidR="000F61EC" w:rsidRPr="00BA31D9" w:rsidRDefault="000F61EC" w:rsidP="00BA31D9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цена закрытия;</w:t>
            </w:r>
          </w:p>
          <w:p w:rsidR="000F61EC" w:rsidRPr="00BA31D9" w:rsidRDefault="000F61EC" w:rsidP="00BA31D9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значение рыночного индикатора</w:t>
            </w:r>
            <w:r w:rsidRPr="00BA3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179E6" w:rsidRPr="00BA31D9" w:rsidRDefault="002179E6" w:rsidP="00BA31D9">
            <w:pPr>
              <w:ind w:firstLine="426"/>
              <w:rPr>
                <w:strike/>
                <w:sz w:val="24"/>
                <w:szCs w:val="24"/>
              </w:rPr>
            </w:pPr>
          </w:p>
          <w:p w:rsidR="000F61EC" w:rsidRPr="00BA31D9" w:rsidRDefault="000F61EC" w:rsidP="00BA31D9">
            <w:pPr>
              <w:ind w:firstLine="426"/>
              <w:rPr>
                <w:strike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C" w:rsidRPr="00C87794" w:rsidRDefault="007F6D4A" w:rsidP="000F608A">
            <w:pPr>
              <w:ind w:firstLine="426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lastRenderedPageBreak/>
              <w:t>Уровень 2. В случае отсутствия активного рынка на дату оценки, а так же в случае, если основным рынком для облигации является внебиржевой рынок, справедливой цен</w:t>
            </w:r>
            <w:r w:rsidR="000F608A">
              <w:rPr>
                <w:color w:val="000000" w:themeColor="text1"/>
                <w:sz w:val="24"/>
                <w:szCs w:val="24"/>
              </w:rPr>
              <w:t xml:space="preserve">а  рассчитывается </w:t>
            </w:r>
            <w:r w:rsidR="000F608A">
              <w:rPr>
                <w:color w:val="000000" w:themeColor="text1"/>
                <w:sz w:val="24"/>
                <w:szCs w:val="24"/>
              </w:rPr>
              <w:lastRenderedPageBreak/>
              <w:t>в соответствии с Приложением 1 к Стандарту</w:t>
            </w:r>
          </w:p>
          <w:p w:rsidR="002179E6" w:rsidRPr="00C87794" w:rsidRDefault="002179E6" w:rsidP="00BA31D9">
            <w:pPr>
              <w:ind w:firstLine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179E6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E" w:rsidRPr="00BA31D9" w:rsidRDefault="00AC0144" w:rsidP="00BA31D9">
            <w:pPr>
              <w:ind w:firstLine="426"/>
              <w:rPr>
                <w:b/>
                <w:sz w:val="24"/>
                <w:szCs w:val="24"/>
              </w:rPr>
            </w:pPr>
            <w:r w:rsidRPr="00AC0144">
              <w:rPr>
                <w:b/>
                <w:sz w:val="24"/>
                <w:szCs w:val="24"/>
              </w:rPr>
              <w:lastRenderedPageBreak/>
              <w:t>Уровен</w:t>
            </w:r>
            <w:r w:rsidRPr="00AC0144">
              <w:rPr>
                <w:b/>
                <w:color w:val="000000" w:themeColor="text1"/>
                <w:sz w:val="24"/>
                <w:szCs w:val="24"/>
              </w:rPr>
              <w:t>ь</w:t>
            </w:r>
            <w:r w:rsidR="00A3101E" w:rsidRPr="00BA31D9">
              <w:rPr>
                <w:sz w:val="24"/>
                <w:szCs w:val="24"/>
              </w:rPr>
              <w:t xml:space="preserve"> 3. Если ни в один из 30 торговых дней, предшествующих дате оценки, не были доступны данные Уровня 2, то справедливая стоимость облигации определяется путем дисконтирования стоимости будущих купонных платежей, а также номинала по ставкам кривой безрисковых доходностей, скорректированных на кредитный спред: </w:t>
            </w:r>
          </w:p>
          <w:p w:rsidR="00A3101E" w:rsidRPr="00BA31D9" w:rsidRDefault="00A3101E" w:rsidP="00BA31D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A31D9">
              <w:rPr>
                <w:noProof/>
                <w:position w:val="-30"/>
                <w:sz w:val="24"/>
                <w:szCs w:val="24"/>
              </w:rPr>
              <w:object w:dxaOrig="2900" w:dyaOrig="700">
                <v:shape id="_x0000_i1029" type="#_x0000_t75" style="width:145.5pt;height:34.5pt" o:ole="">
                  <v:imagedata r:id="rId14" o:title=""/>
                </v:shape>
                <o:OLEObject Type="Embed" ProgID="Equation.3" ShapeID="_x0000_i1029" DrawAspect="Content" ObjectID="_1630410167" r:id="rId15"/>
              </w:objec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P</w:t>
            </w:r>
            <w:r w:rsidRPr="00BA31D9">
              <w:rPr>
                <w:sz w:val="24"/>
                <w:szCs w:val="24"/>
                <w:vertAlign w:val="subscript"/>
                <w:lang w:val="en-US"/>
              </w:rPr>
              <w:t>t</w:t>
            </w:r>
            <w:r w:rsidRPr="00BA31D9">
              <w:rPr>
                <w:sz w:val="24"/>
                <w:szCs w:val="24"/>
                <w:vertAlign w:val="subscript"/>
              </w:rPr>
              <w:t>0</w:t>
            </w:r>
            <w:r w:rsidRPr="00BA31D9">
              <w:rPr>
                <w:sz w:val="24"/>
                <w:szCs w:val="24"/>
                <w:vertAlign w:val="subscript"/>
              </w:rPr>
              <w:tab/>
            </w:r>
            <w:r w:rsidRPr="00BA31D9">
              <w:rPr>
                <w:sz w:val="24"/>
                <w:szCs w:val="24"/>
              </w:rPr>
              <w:t xml:space="preserve"> – справедливая стоимость облигации;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  <w:lang w:val="en-US"/>
              </w:rPr>
              <w:t>i</w:t>
            </w:r>
            <w:r w:rsidRPr="00BA31D9">
              <w:rPr>
                <w:sz w:val="24"/>
                <w:szCs w:val="24"/>
              </w:rPr>
              <w:t xml:space="preserve"> – порядковый номер денежного потока;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CFi</w:t>
            </w:r>
            <w:r w:rsidRPr="00BA31D9">
              <w:rPr>
                <w:sz w:val="24"/>
                <w:szCs w:val="24"/>
              </w:rPr>
              <w:tab/>
              <w:t xml:space="preserve"> – </w:t>
            </w:r>
            <w:r w:rsidRPr="00BA31D9">
              <w:rPr>
                <w:sz w:val="24"/>
                <w:szCs w:val="24"/>
                <w:lang w:val="en-US"/>
              </w:rPr>
              <w:t>i</w:t>
            </w:r>
            <w:r w:rsidRPr="00BA31D9">
              <w:rPr>
                <w:sz w:val="24"/>
                <w:szCs w:val="24"/>
              </w:rPr>
              <w:t xml:space="preserve">-ый денежный поток по облигации – будущие денежные потоки по облигации (включая купонные выплаты, амортизационные платежи,  и погашение остаточной номинальной стоимости) с даты определения справедливой стоимости (не включая) до даты оферты (если оферта предусмотрена условиями выпуска облигации), либо даты полного погашения, предусмотренного условиями выпуска (если оферта не предусмотрена). </w:t>
            </w:r>
            <w:r w:rsidRPr="00BA31D9">
              <w:rPr>
                <w:strike/>
                <w:sz w:val="24"/>
                <w:szCs w:val="24"/>
              </w:rPr>
              <w:t>При этом если до даты оферты/погашения существуют купонные периоды, для которых ставка купона не определена, расчет денежного потока за указанный период производится исходя из последнего известного значения ставки купона;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  <w:lang w:val="en-US"/>
              </w:rPr>
              <w:t>r</w:t>
            </w:r>
            <w:r w:rsidRPr="00BA31D9">
              <w:rPr>
                <w:sz w:val="24"/>
                <w:szCs w:val="24"/>
              </w:rPr>
              <w:t>i</w:t>
            </w:r>
            <w:r w:rsidRPr="00BA31D9">
              <w:rPr>
                <w:sz w:val="24"/>
                <w:szCs w:val="24"/>
              </w:rPr>
              <w:tab/>
              <w:t xml:space="preserve"> – ставка кривой бескупонной доходности рынка ОФЗ (</w:t>
            </w:r>
            <w:r w:rsidRPr="00BA31D9">
              <w:rPr>
                <w:sz w:val="24"/>
                <w:szCs w:val="24"/>
                <w:lang w:val="en-US"/>
              </w:rPr>
              <w:t>G</w:t>
            </w:r>
            <w:r w:rsidRPr="00BA31D9">
              <w:rPr>
                <w:sz w:val="24"/>
                <w:szCs w:val="24"/>
              </w:rPr>
              <w:t>-кривая), соответствующая дате выплаты i-го денежного потока, публикуемая Банком России и Московской Биржей;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  <w:lang w:val="en-US"/>
              </w:rPr>
              <w:t>CrSpread</w:t>
            </w:r>
            <w:r w:rsidRPr="00BA31D9">
              <w:rPr>
                <w:sz w:val="24"/>
                <w:szCs w:val="24"/>
              </w:rPr>
              <w:t xml:space="preserve"> – кредитный спред облигационного индекса (расчет приведен ниже);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ti</w:t>
            </w:r>
            <w:r w:rsidRPr="00BA31D9">
              <w:rPr>
                <w:sz w:val="24"/>
                <w:szCs w:val="24"/>
              </w:rPr>
              <w:noBreakHyphen/>
              <w:t xml:space="preserve"> – срок до выплаты i-го денежного потока в годах (в качестве базы расчета используется 365 дней)</w:t>
            </w:r>
          </w:p>
          <w:p w:rsidR="00A3101E" w:rsidRPr="00BA31D9" w:rsidRDefault="00A3101E" w:rsidP="00BA31D9">
            <w:pPr>
              <w:ind w:firstLine="284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В случае, если какой-либо выпуск облигаций был реструктуризирован, то полученное значение до даты выплаты первого купона с момента реорганизации корректируется на коэффициент, равный максимальной вероятности дефолта на </w:t>
            </w:r>
            <w:r w:rsidRPr="00BA31D9">
              <w:rPr>
                <w:sz w:val="24"/>
                <w:szCs w:val="24"/>
              </w:rPr>
              <w:lastRenderedPageBreak/>
              <w:t xml:space="preserve">горизонте 1 год по статистике международного рейтингового агентства «S&amp;P» по компаниям с преддефолтным рейтингом в составе отчета (Источник: </w:t>
            </w:r>
            <w:r w:rsidRPr="00BA31D9">
              <w:rPr>
                <w:rFonts w:eastAsia="Batang"/>
                <w:sz w:val="24"/>
                <w:szCs w:val="24"/>
              </w:rPr>
              <w:t>https://www.spratings.com/documents/20184/774196/2016+Annual+Global+Corporate+Default+Study+And+Rating+Transitions.pdf/2ddcf9dd-3b82-4151-9dab-8e3fc70a7035</w:t>
            </w:r>
            <w:r w:rsidRPr="00BA31D9">
              <w:rPr>
                <w:sz w:val="24"/>
                <w:szCs w:val="24"/>
              </w:rPr>
              <w:t>, таблица 9).</w:t>
            </w:r>
          </w:p>
          <w:p w:rsidR="00A3101E" w:rsidRPr="00BA31D9" w:rsidRDefault="00A3101E" w:rsidP="00BA31D9">
            <w:pPr>
              <w:ind w:firstLine="426"/>
              <w:jc w:val="both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В случае, если выпуск является субординированным, то в расчете ставки дисконтирования необходимо учитывать премию за субординированность. Порядок расчета премии должен быть описан в Правилах определения СЧА.</w:t>
            </w:r>
          </w:p>
          <w:p w:rsidR="00A3101E" w:rsidRPr="00BA31D9" w:rsidRDefault="00A3101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Справедливая стоимость облигаций, полученная в результате данного метода расчета, округляется до двух знаков после запятой, с применением правил математического округления.</w:t>
            </w:r>
          </w:p>
          <w:p w:rsidR="002179E6" w:rsidRDefault="00A3101E" w:rsidP="00BA31D9">
            <w:pPr>
              <w:ind w:firstLine="426"/>
              <w:jc w:val="both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Для целей расчета медианного кредитного спреда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CrSpread</m:t>
              </m:r>
            </m:oMath>
            <w:r w:rsidRPr="00BA31D9">
              <w:rPr>
                <w:sz w:val="24"/>
                <w:szCs w:val="24"/>
              </w:rPr>
              <w:t xml:space="preserve">) в зависимости от кредитного рейтинга у выпуска долговой ценной бумаги (кредитный рейтинг в валюте номинала), а в случае его отсутствия - рейтинга эмитента или поручителя (гаранта) долговой ценной бумаги, долговая ценная бумага может быть отнесена к одной из четырех рейтинговых групп. При наличии нескольких рейтингов, выбирается наибольший из имеющихся </w:t>
            </w:r>
            <w:r w:rsidRPr="00BA31D9">
              <w:rPr>
                <w:strike/>
                <w:sz w:val="24"/>
                <w:szCs w:val="24"/>
              </w:rPr>
              <w:t>актуальных</w:t>
            </w:r>
            <w:r w:rsidRPr="00BA31D9">
              <w:rPr>
                <w:sz w:val="24"/>
                <w:szCs w:val="24"/>
              </w:rPr>
              <w:t xml:space="preserve"> кредитных рейтингов. Если поручительство по выпуску долговой ценной бумаги обеспечивает исполнение обязательств в полном объёме и (или) гарантия выдана на сумму номинальной стоимости и процентов по таким долговым ценным бумагам, то выбирается наибольший из имеющихся актуальных кредитных рейтингов выпуска долговой ценной бумаги и поручителя (гаранта).</w:t>
            </w:r>
          </w:p>
          <w:p w:rsidR="000B64B3" w:rsidRPr="00BA31D9" w:rsidRDefault="000B64B3" w:rsidP="00BA31D9">
            <w:pPr>
              <w:ind w:firstLine="426"/>
              <w:jc w:val="both"/>
              <w:rPr>
                <w:sz w:val="24"/>
                <w:szCs w:val="24"/>
              </w:rPr>
            </w:pPr>
          </w:p>
          <w:tbl>
            <w:tblPr>
              <w:tblW w:w="7154" w:type="dxa"/>
              <w:jc w:val="center"/>
              <w:tblLayout w:type="fixed"/>
              <w:tblLook w:val="04A0"/>
            </w:tblPr>
            <w:tblGrid>
              <w:gridCol w:w="962"/>
              <w:gridCol w:w="824"/>
              <w:gridCol w:w="1405"/>
              <w:gridCol w:w="1405"/>
              <w:gridCol w:w="1405"/>
              <w:gridCol w:w="1153"/>
            </w:tblGrid>
            <w:tr w:rsidR="00463E1C" w:rsidRPr="00BA31D9" w:rsidTr="00463E1C">
              <w:trPr>
                <w:trHeight w:val="48"/>
                <w:jc w:val="center"/>
              </w:trPr>
              <w:tc>
                <w:tcPr>
                  <w:tcW w:w="9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АКРА</w:t>
                  </w:r>
                </w:p>
              </w:tc>
              <w:tc>
                <w:tcPr>
                  <w:tcW w:w="8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Эксперт РА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Moody`s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S&amp;P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Fitch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</w:t>
                  </w:r>
                </w:p>
              </w:tc>
            </w:tr>
            <w:tr w:rsidR="00463E1C" w:rsidRPr="00BA31D9" w:rsidTr="00463E1C">
              <w:trPr>
                <w:trHeight w:val="169"/>
                <w:jc w:val="center"/>
              </w:trPr>
              <w:tc>
                <w:tcPr>
                  <w:tcW w:w="9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Ваа1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ВВВ+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ВВВ+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 xml:space="preserve">Рейтинговая </w:t>
                  </w: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группа I</w:t>
                  </w: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Ваа2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60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lastRenderedPageBreak/>
                    <w:t>AAA(RU)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ruAAA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Ваа3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ВВВ-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ВВВ-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  <w:lang w:val="fr-FR"/>
                    </w:rPr>
                    <w:lastRenderedPageBreak/>
                    <w:t>AA+(RU), AA(RU), AA-(RU)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ruAA+, ruAA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Ва1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ВВ+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ВВ+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 II</w:t>
                  </w: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A+(RU), A(RU)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ruAA-, ruA+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Ва2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</w:t>
                  </w:r>
                </w:p>
              </w:tc>
              <w:tc>
                <w:tcPr>
                  <w:tcW w:w="115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A-(RU), BBB+(RU)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ruA, ruA-, ruBBB+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Ва3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ВВ-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ВВ-</w:t>
                  </w:r>
                </w:p>
              </w:tc>
              <w:tc>
                <w:tcPr>
                  <w:tcW w:w="115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BBB(RU), BBB-(RU)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ruBBB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 II</w:t>
                  </w:r>
                  <w:r w:rsidRPr="000B64B3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BB+(RU)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ruBBB-, ruBB+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BB(RU)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ruBB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60"/>
                <w:jc w:val="center"/>
              </w:trPr>
              <w:tc>
                <w:tcPr>
                  <w:tcW w:w="600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Более низкий рейтинг / рейтинг отсутствует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 I</w:t>
                  </w:r>
                  <w:r w:rsidRPr="000B64B3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</w:tbl>
          <w:p w:rsidR="00A3101E" w:rsidRPr="00BA31D9" w:rsidRDefault="00A3101E" w:rsidP="00BA31D9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A3101E" w:rsidRPr="00203BE5" w:rsidRDefault="00463E1C" w:rsidP="00BA31D9">
            <w:pPr>
              <w:ind w:firstLine="426"/>
              <w:jc w:val="both"/>
              <w:rPr>
                <w:sz w:val="24"/>
                <w:szCs w:val="24"/>
              </w:rPr>
            </w:pPr>
            <w:r w:rsidRPr="00203BE5">
              <w:rPr>
                <w:sz w:val="24"/>
                <w:szCs w:val="24"/>
              </w:rPr>
              <w:t xml:space="preserve">Кредитный спред для рейтинговых групп рассчитывается на дату определения справедливой стоимости, на основании данных облигационных индексов, раскрываемых ПАО «Московская </w:t>
            </w:r>
            <w:r w:rsidRPr="00203BE5">
              <w:rPr>
                <w:sz w:val="24"/>
                <w:szCs w:val="24"/>
              </w:rPr>
              <w:lastRenderedPageBreak/>
              <w:t xml:space="preserve">биржа» по итогам каждого торгового дня. </w:t>
            </w:r>
            <w:r w:rsidR="00AC0144" w:rsidRPr="00AC0144">
              <w:rPr>
                <w:sz w:val="24"/>
                <w:szCs w:val="24"/>
              </w:rPr>
              <w:t>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6" w:rsidRPr="00BA31D9" w:rsidRDefault="002179E6" w:rsidP="00BA31D9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Уровень 2 или 3 (в зависимости от</w:t>
            </w:r>
            <w:r w:rsidR="000B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наличия</w:t>
            </w:r>
            <w:r w:rsidRPr="00BA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наблюдаемых данных). </w:t>
            </w:r>
          </w:p>
          <w:p w:rsidR="00A3101E" w:rsidRPr="00BA31D9" w:rsidRDefault="00A3101E" w:rsidP="00BA31D9">
            <w:pPr>
              <w:rPr>
                <w:b/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Если ни в один из 30 торговых дней, предшествующих дате оценки, не были доступны данные Уровня 2, то справедливая стоимость облигации определяется путем дисконтирования стоимости будущих купонных платежей, а также номинала по ставкам кривой безрисковых доходностей, скорректированных на кредитный спред: </w:t>
            </w:r>
          </w:p>
          <w:p w:rsidR="00A3101E" w:rsidRPr="00BA31D9" w:rsidRDefault="00A3101E" w:rsidP="00BA31D9">
            <w:pPr>
              <w:jc w:val="center"/>
              <w:rPr>
                <w:sz w:val="24"/>
                <w:szCs w:val="24"/>
              </w:rPr>
            </w:pPr>
            <w:r w:rsidRPr="00BA31D9">
              <w:rPr>
                <w:noProof/>
                <w:position w:val="-30"/>
                <w:sz w:val="24"/>
                <w:szCs w:val="24"/>
              </w:rPr>
              <w:object w:dxaOrig="2900" w:dyaOrig="700">
                <v:shape id="_x0000_i1030" type="#_x0000_t75" style="width:145.5pt;height:34.5pt" o:ole="">
                  <v:imagedata r:id="rId14" o:title=""/>
                </v:shape>
                <o:OLEObject Type="Embed" ProgID="Equation.3" ShapeID="_x0000_i1030" DrawAspect="Content" ObjectID="_1630410168" r:id="rId16"/>
              </w:objec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P</w:t>
            </w:r>
            <w:r w:rsidRPr="00BA31D9">
              <w:rPr>
                <w:sz w:val="24"/>
                <w:szCs w:val="24"/>
                <w:vertAlign w:val="subscript"/>
                <w:lang w:val="en-US"/>
              </w:rPr>
              <w:t>t</w:t>
            </w:r>
            <w:r w:rsidRPr="00BA31D9">
              <w:rPr>
                <w:sz w:val="24"/>
                <w:szCs w:val="24"/>
                <w:vertAlign w:val="subscript"/>
              </w:rPr>
              <w:t>0</w:t>
            </w:r>
            <w:r w:rsidRPr="00BA31D9">
              <w:rPr>
                <w:sz w:val="24"/>
                <w:szCs w:val="24"/>
                <w:vertAlign w:val="subscript"/>
              </w:rPr>
              <w:tab/>
            </w:r>
            <w:r w:rsidRPr="00BA31D9">
              <w:rPr>
                <w:sz w:val="24"/>
                <w:szCs w:val="24"/>
              </w:rPr>
              <w:t xml:space="preserve"> – справедливая стоимость облигации;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  <w:lang w:val="en-US"/>
              </w:rPr>
              <w:t>i</w:t>
            </w:r>
            <w:r w:rsidRPr="00BA31D9">
              <w:rPr>
                <w:sz w:val="24"/>
                <w:szCs w:val="24"/>
              </w:rPr>
              <w:t xml:space="preserve"> – порядковый номер денежного потока;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CFi</w:t>
            </w:r>
            <w:r w:rsidRPr="00BA31D9">
              <w:rPr>
                <w:sz w:val="24"/>
                <w:szCs w:val="24"/>
              </w:rPr>
              <w:tab/>
              <w:t xml:space="preserve"> – </w:t>
            </w:r>
            <w:r w:rsidRPr="00BA31D9">
              <w:rPr>
                <w:sz w:val="24"/>
                <w:szCs w:val="24"/>
                <w:lang w:val="en-US"/>
              </w:rPr>
              <w:t>i</w:t>
            </w:r>
            <w:r w:rsidRPr="00BA31D9">
              <w:rPr>
                <w:sz w:val="24"/>
                <w:szCs w:val="24"/>
              </w:rPr>
              <w:t>-ый денежный поток по облигации – будущие денежные потоки по облигации (включая купонные выплаты, амортизационные платежи,  и погашение остаточной номинальной стоимости) с даты определения справедливой стоимости (не включая) до даты оферты (если оферта предусмотрена условиями выпуска облигации), либо даты полного погашения, предусмотренного условиями выпуска (если оферта не предусмотрена).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  <w:lang w:val="en-US"/>
              </w:rPr>
              <w:t>r</w:t>
            </w:r>
            <w:r w:rsidRPr="00BA31D9">
              <w:rPr>
                <w:sz w:val="24"/>
                <w:szCs w:val="24"/>
              </w:rPr>
              <w:t>i</w:t>
            </w:r>
            <w:r w:rsidRPr="00BA31D9">
              <w:rPr>
                <w:sz w:val="24"/>
                <w:szCs w:val="24"/>
              </w:rPr>
              <w:tab/>
              <w:t xml:space="preserve"> – ставка кривой бескупонной доходности рынка ОФЗ (</w:t>
            </w:r>
            <w:r w:rsidRPr="00BA31D9">
              <w:rPr>
                <w:sz w:val="24"/>
                <w:szCs w:val="24"/>
                <w:lang w:val="en-US"/>
              </w:rPr>
              <w:t>G</w:t>
            </w:r>
            <w:r w:rsidRPr="00BA31D9">
              <w:rPr>
                <w:sz w:val="24"/>
                <w:szCs w:val="24"/>
              </w:rPr>
              <w:t>-кривая)</w:t>
            </w:r>
            <w:r w:rsidRPr="00BA31D9">
              <w:rPr>
                <w:b/>
                <w:sz w:val="24"/>
                <w:szCs w:val="24"/>
              </w:rPr>
              <w:t xml:space="preserve">,  </w:t>
            </w:r>
            <w:r w:rsidRPr="00BA31D9">
              <w:rPr>
                <w:sz w:val="24"/>
                <w:szCs w:val="24"/>
              </w:rPr>
              <w:t>соответствующая дате выплаты i-го денежного потока, публикуемая Банком России и Московской Биржей;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  <w:lang w:val="en-US"/>
              </w:rPr>
              <w:t>CrSpread</w:t>
            </w:r>
            <w:r w:rsidRPr="00BA31D9">
              <w:rPr>
                <w:sz w:val="24"/>
                <w:szCs w:val="24"/>
              </w:rPr>
              <w:t xml:space="preserve"> – кредитный спред облигационного индекса (расчет приведен ниже);</w:t>
            </w:r>
          </w:p>
          <w:p w:rsidR="00A3101E" w:rsidRPr="00BA31D9" w:rsidRDefault="00A3101E" w:rsidP="00BA31D9">
            <w:pPr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ti</w:t>
            </w:r>
            <w:r w:rsidRPr="00BA31D9">
              <w:rPr>
                <w:sz w:val="24"/>
                <w:szCs w:val="24"/>
              </w:rPr>
              <w:noBreakHyphen/>
              <w:t xml:space="preserve"> – срок до выплаты i-го денежного потока в годах (в качестве базы расчета используется 365 дней)</w:t>
            </w:r>
          </w:p>
          <w:p w:rsidR="00A3101E" w:rsidRPr="00BA31D9" w:rsidRDefault="00A3101E" w:rsidP="00BA31D9">
            <w:pPr>
              <w:ind w:firstLine="284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 xml:space="preserve">В случае, если какой-либо выпуск облигаций был реструктуризирован, то полученное значение до даты выплаты первого купона с момента реорганизации корректируется на коэффициент, равный максимальной вероятности дефолта на горизонте 1 год по статистике международного рейтингового агентства «S&amp;P» по компаниям с преддефолтным рейтингом в </w:t>
            </w:r>
            <w:r w:rsidRPr="00BA31D9">
              <w:rPr>
                <w:sz w:val="24"/>
                <w:szCs w:val="24"/>
              </w:rPr>
              <w:lastRenderedPageBreak/>
              <w:t xml:space="preserve">составе отчета (Источник: </w:t>
            </w:r>
            <w:hyperlink r:id="rId17" w:history="1">
              <w:r w:rsidRPr="00BA31D9">
                <w:rPr>
                  <w:rStyle w:val="af"/>
                  <w:color w:val="auto"/>
                  <w:sz w:val="24"/>
                  <w:szCs w:val="24"/>
                </w:rPr>
                <w:t>https://www.spratings.com/documents/20184/774196/2016+Annual+Global+Corporate+Default+Study+And+Rating+Transitions.pdf/2ddcf9dd-3b82-4151-9dab-8e3fc70a7035</w:t>
              </w:r>
            </w:hyperlink>
            <w:r w:rsidRPr="00BA31D9">
              <w:rPr>
                <w:sz w:val="24"/>
                <w:szCs w:val="24"/>
              </w:rPr>
              <w:t>, таблица 9).</w:t>
            </w:r>
          </w:p>
          <w:p w:rsidR="00A3101E" w:rsidRPr="00BA31D9" w:rsidRDefault="00A3101E" w:rsidP="00BA31D9">
            <w:pPr>
              <w:ind w:firstLine="426"/>
              <w:jc w:val="both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В случае, если выпуск является субординированным, то в расчете ставки дисконтирования необходимо учитывать премию за субординированность. Порядок расчета премии должен быть описан в Правилах определения СЧА.</w:t>
            </w:r>
          </w:p>
          <w:p w:rsidR="00A3101E" w:rsidRPr="00BA31D9" w:rsidRDefault="00A3101E" w:rsidP="00BA31D9">
            <w:pPr>
              <w:ind w:firstLine="426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Справедливая стоимость облигаций, полученная в результате данного метода расчета, округляется до двух знаков после запятой, с применением правил математического округления.</w:t>
            </w:r>
          </w:p>
          <w:p w:rsidR="00A3101E" w:rsidRPr="00BA31D9" w:rsidRDefault="00A3101E" w:rsidP="00BA31D9">
            <w:pPr>
              <w:ind w:firstLine="426"/>
              <w:jc w:val="both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Для целей расчета медианного кредитного спреда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CrSpread</m:t>
              </m:r>
            </m:oMath>
            <w:r w:rsidRPr="00BA31D9">
              <w:rPr>
                <w:sz w:val="24"/>
                <w:szCs w:val="24"/>
              </w:rPr>
              <w:t xml:space="preserve">) в зависимости от кредитного рейтинга у выпуска долговой ценной бумаги (кредитный рейтинг в валюте номинала), а в случае его отсутствия – </w:t>
            </w:r>
            <w:r w:rsidRPr="00BA31D9">
              <w:rPr>
                <w:b/>
                <w:sz w:val="24"/>
                <w:szCs w:val="24"/>
              </w:rPr>
              <w:t>сначала</w:t>
            </w:r>
            <w:r w:rsidRPr="00BA31D9">
              <w:rPr>
                <w:sz w:val="24"/>
                <w:szCs w:val="24"/>
              </w:rPr>
              <w:t xml:space="preserve"> </w:t>
            </w:r>
            <w:r w:rsidRPr="00BA31D9">
              <w:rPr>
                <w:b/>
                <w:sz w:val="24"/>
                <w:szCs w:val="24"/>
              </w:rPr>
              <w:t>рейтинг эмитента, а в случае и его отсутствия рейтинг поручителя (гаранта) долговой ценной бумаги,</w:t>
            </w:r>
            <w:r w:rsidRPr="00BA31D9">
              <w:rPr>
                <w:sz w:val="24"/>
                <w:szCs w:val="24"/>
              </w:rPr>
              <w:t xml:space="preserve"> долговая ценная бумага может быть отнесена к одной из четырех рейтинговых групп. При наличии нескольких рейтингов, выбирается </w:t>
            </w:r>
            <w:r w:rsidR="000F61EC" w:rsidRPr="00BA31D9">
              <w:rPr>
                <w:b/>
                <w:sz w:val="24"/>
                <w:szCs w:val="24"/>
              </w:rPr>
              <w:t xml:space="preserve">наиболее актуальный на дату оценки </w:t>
            </w:r>
            <w:r w:rsidRPr="00BA31D9">
              <w:rPr>
                <w:b/>
                <w:sz w:val="24"/>
                <w:szCs w:val="24"/>
              </w:rPr>
              <w:t>кредитны</w:t>
            </w:r>
            <w:r w:rsidR="000F61EC" w:rsidRPr="00BA31D9">
              <w:rPr>
                <w:b/>
                <w:sz w:val="24"/>
                <w:szCs w:val="24"/>
              </w:rPr>
              <w:t>й</w:t>
            </w:r>
            <w:r w:rsidRPr="00BA31D9">
              <w:rPr>
                <w:b/>
                <w:sz w:val="24"/>
                <w:szCs w:val="24"/>
              </w:rPr>
              <w:t xml:space="preserve"> рейтинг.</w:t>
            </w:r>
            <w:r w:rsidRPr="00BA31D9">
              <w:rPr>
                <w:sz w:val="24"/>
                <w:szCs w:val="24"/>
              </w:rPr>
              <w:t xml:space="preserve"> Если поручительство по выпуску долговой ценной бумаги обеспечивает исполнение обязательств в полном объёме и (или) гарантия выдана на сумму номинальной стоимости и процентов по таким долговым ценным бумагам, то выбирается </w:t>
            </w:r>
            <w:r w:rsidR="000F61EC" w:rsidRPr="00BA31D9">
              <w:rPr>
                <w:b/>
                <w:sz w:val="24"/>
                <w:szCs w:val="24"/>
              </w:rPr>
              <w:t xml:space="preserve"> наиболее актуальный на дату оценки кредитный рейтинг</w:t>
            </w:r>
            <w:r w:rsidR="000F61EC" w:rsidRPr="00BA31D9">
              <w:rPr>
                <w:sz w:val="24"/>
                <w:szCs w:val="24"/>
              </w:rPr>
              <w:t xml:space="preserve"> </w:t>
            </w:r>
            <w:r w:rsidRPr="00BA31D9">
              <w:rPr>
                <w:sz w:val="24"/>
                <w:szCs w:val="24"/>
              </w:rPr>
              <w:t>выпуска долговой ценной бумаги и поручителя (гаранта).</w:t>
            </w:r>
          </w:p>
          <w:p w:rsidR="00463E1C" w:rsidRPr="00BA31D9" w:rsidRDefault="00463E1C" w:rsidP="00BA31D9">
            <w:pPr>
              <w:ind w:firstLine="426"/>
              <w:jc w:val="both"/>
              <w:rPr>
                <w:sz w:val="24"/>
                <w:szCs w:val="24"/>
              </w:rPr>
            </w:pPr>
          </w:p>
          <w:tbl>
            <w:tblPr>
              <w:tblW w:w="7154" w:type="dxa"/>
              <w:jc w:val="center"/>
              <w:tblLayout w:type="fixed"/>
              <w:tblLook w:val="04A0"/>
            </w:tblPr>
            <w:tblGrid>
              <w:gridCol w:w="962"/>
              <w:gridCol w:w="824"/>
              <w:gridCol w:w="1405"/>
              <w:gridCol w:w="1405"/>
              <w:gridCol w:w="1405"/>
              <w:gridCol w:w="1153"/>
            </w:tblGrid>
            <w:tr w:rsidR="00463E1C" w:rsidRPr="00BA31D9" w:rsidTr="00463E1C">
              <w:trPr>
                <w:trHeight w:val="48"/>
                <w:jc w:val="center"/>
              </w:trPr>
              <w:tc>
                <w:tcPr>
                  <w:tcW w:w="9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АКРА</w:t>
                  </w:r>
                </w:p>
              </w:tc>
              <w:tc>
                <w:tcPr>
                  <w:tcW w:w="8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Эксперт РА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Moody`s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S&amp;P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Fitch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</w:t>
                  </w:r>
                </w:p>
              </w:tc>
            </w:tr>
            <w:tr w:rsidR="00463E1C" w:rsidRPr="00BA31D9" w:rsidTr="00463E1C">
              <w:trPr>
                <w:trHeight w:val="169"/>
                <w:jc w:val="center"/>
              </w:trPr>
              <w:tc>
                <w:tcPr>
                  <w:tcW w:w="9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Ваа1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ВВВ+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ВВВ+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 I</w:t>
                  </w: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Ваа2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60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AAA(</w:t>
                  </w:r>
                  <w:r w:rsidRPr="000B64B3">
                    <w:rPr>
                      <w:color w:val="000000"/>
                      <w:sz w:val="24"/>
                      <w:szCs w:val="24"/>
                    </w:rPr>
                    <w:lastRenderedPageBreak/>
                    <w:t>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lastRenderedPageBreak/>
                    <w:t>ruAA</w:t>
                  </w:r>
                  <w:r w:rsidRPr="000B64B3">
                    <w:rPr>
                      <w:color w:val="000000"/>
                      <w:sz w:val="24"/>
                      <w:szCs w:val="24"/>
                    </w:rPr>
                    <w:lastRenderedPageBreak/>
                    <w:t>A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lastRenderedPageBreak/>
                    <w:t>Ваа3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0B64B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ВВВ</w:t>
                  </w:r>
                  <w:r w:rsidR="004E228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ВВВ-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  <w:lang w:val="fr-FR"/>
                    </w:rPr>
                    <w:lastRenderedPageBreak/>
                    <w:t>AA+(RU), AA(RU), AA-(RU)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ruAA+, ruAA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Ва1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ВВ+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B64B3">
                    <w:rPr>
                      <w:sz w:val="24"/>
                      <w:szCs w:val="24"/>
                    </w:rPr>
                    <w:t>ВВ+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 II</w:t>
                  </w: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A+(RU), A(RU)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ruAA-, ruA+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Ва2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</w:t>
                  </w:r>
                </w:p>
              </w:tc>
              <w:tc>
                <w:tcPr>
                  <w:tcW w:w="115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A-(RU), BBB+(RU)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ruA, ruA-, ruBBB+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Ва3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ВВ-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ВВ-</w:t>
                  </w:r>
                </w:p>
              </w:tc>
              <w:tc>
                <w:tcPr>
                  <w:tcW w:w="115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BBB(RU), BBB-(RU)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ruBBB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 II</w:t>
                  </w:r>
                  <w:r w:rsidRPr="000B64B3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BB+(RU)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ruBBB-, ruBB+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92"/>
                <w:jc w:val="center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BB(RU)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ruBB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E1C" w:rsidRPr="00BA31D9" w:rsidTr="00463E1C">
              <w:trPr>
                <w:trHeight w:val="60"/>
                <w:jc w:val="center"/>
              </w:trPr>
              <w:tc>
                <w:tcPr>
                  <w:tcW w:w="600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color w:val="000000"/>
                      <w:sz w:val="24"/>
                      <w:szCs w:val="24"/>
                    </w:rPr>
                    <w:t>Более низкий рейтинг / рейтинг отсутствует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E1C" w:rsidRPr="000B64B3" w:rsidRDefault="00463E1C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64B3">
                    <w:rPr>
                      <w:bCs/>
                      <w:color w:val="000000"/>
                      <w:sz w:val="24"/>
                      <w:szCs w:val="24"/>
                    </w:rPr>
                    <w:t>Рейтинговая группа I</w:t>
                  </w:r>
                  <w:r w:rsidRPr="000B64B3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</w:tbl>
          <w:p w:rsidR="009E4AB5" w:rsidRPr="00BA31D9" w:rsidRDefault="009E4AB5" w:rsidP="00BA31D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BA31D9">
              <w:rPr>
                <w:rFonts w:ascii="Times New Roman" w:hAnsi="Times New Roman"/>
                <w:b/>
                <w:sz w:val="24"/>
                <w:szCs w:val="24"/>
              </w:rPr>
              <w:t>Рейтинги пересматриваются в зависимости от изменения рейтинга Российской Федерации.</w:t>
            </w:r>
          </w:p>
          <w:p w:rsidR="00463E1C" w:rsidRPr="00BA31D9" w:rsidRDefault="00203BE5" w:rsidP="00BA31D9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203BE5">
              <w:rPr>
                <w:sz w:val="24"/>
                <w:szCs w:val="24"/>
              </w:rPr>
              <w:t xml:space="preserve">Кредитный спред для рейтинговых групп рассчитывается на дату определения справедливой стоимости, на основании данных облигационных индексов, раскрываемых ПАО «Московская </w:t>
            </w:r>
            <w:r w:rsidRPr="00203BE5">
              <w:rPr>
                <w:sz w:val="24"/>
                <w:szCs w:val="24"/>
              </w:rPr>
              <w:lastRenderedPageBreak/>
              <w:t>биржа» по итогам каждого торгового дня.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стоимости.</w:t>
            </w:r>
          </w:p>
        </w:tc>
      </w:tr>
      <w:tr w:rsidR="002179E6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6" w:rsidRPr="00BA31D9" w:rsidRDefault="009610F3" w:rsidP="00BA31D9">
            <w:pPr>
              <w:jc w:val="both"/>
              <w:rPr>
                <w:sz w:val="24"/>
                <w:szCs w:val="24"/>
              </w:rPr>
            </w:pPr>
            <w:r w:rsidRPr="00BA31D9" w:rsidDel="00203BE5">
              <w:rPr>
                <w:sz w:val="24"/>
                <w:szCs w:val="24"/>
              </w:rPr>
              <w:lastRenderedPageBreak/>
              <w:t xml:space="preserve"> – значение доходности соответствующего индекса, раскрытого ПАО «Московская биржа». – значение доходности соответствующего индекса, раскрытого ПАО «Московская биржа». – значение доходности соответствующего индекса, раскрытого ПАО «Московская биржа»., (Формула 1), (Формула 2) – значение доходности соответствующего индекса, раскрытого ПАО «Московская биржа».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E6" w:rsidRPr="00BA31D9" w:rsidRDefault="009610F3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sz w:val="24"/>
                <w:szCs w:val="24"/>
              </w:rPr>
            </w:pPr>
            <w:r w:rsidRPr="00BA31D9" w:rsidDel="00203BE5">
              <w:rPr>
                <w:sz w:val="24"/>
                <w:szCs w:val="24"/>
              </w:rPr>
              <w:t xml:space="preserve"> – значение доходности соответствующего индекса, раскрытого ПАО «Московская биржа». – значение доходности соответствующего индекса, раскрытого ПАО «Московская биржа». – значение доходности соответствующего индекса, раскрытого ПАО «Московская биржа»., (Формула 1), (Формула 2) – значение доходности соответствующего индекса, раскрытого ПАО «Московская биржа».</w:t>
            </w:r>
          </w:p>
        </w:tc>
      </w:tr>
      <w:tr w:rsidR="00463E1C" w:rsidRPr="00BA31D9" w:rsidTr="00463E1C">
        <w:trPr>
          <w:trHeight w:val="506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1C" w:rsidRPr="00BA31D9" w:rsidRDefault="00463E1C" w:rsidP="00BA31D9">
            <w:pPr>
              <w:ind w:firstLine="426"/>
              <w:jc w:val="center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Еврооблигации</w:t>
            </w:r>
          </w:p>
        </w:tc>
      </w:tr>
      <w:tr w:rsidR="002179E6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C" w:rsidRPr="00BA31D9" w:rsidRDefault="00463E1C" w:rsidP="00BA31D9">
            <w:pPr>
              <w:ind w:firstLine="426"/>
              <w:jc w:val="both"/>
              <w:rPr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Уровень 2. В случае отсутствия активного рынка на дату оценки, а так же в случае, если основным рынком для еврооблигации является внебиржевой рынок, справедливой ценой еврооблигации признается (расположены в сторону уменьшения приоритетности):</w:t>
            </w:r>
          </w:p>
          <w:p w:rsidR="00463E1C" w:rsidRPr="00BA31D9" w:rsidRDefault="00463E1C" w:rsidP="00BA31D9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котировка, рассчитанная Ценовым центром НРД по Методике ОСЦ НРД;</w:t>
            </w:r>
          </w:p>
          <w:p w:rsidR="00463E1C" w:rsidRPr="00BA31D9" w:rsidRDefault="00463E1C" w:rsidP="00BA31D9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котировка, рассчитанная Thompson Reuters (Refinitiv)</w:t>
            </w:r>
          </w:p>
          <w:p w:rsidR="00463E1C" w:rsidRPr="00BA31D9" w:rsidRDefault="00463E1C" w:rsidP="00BA31D9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цена закрытия торгового дня цена BGN, рассчитанная информационным агентством Bloomberg;</w:t>
            </w:r>
          </w:p>
          <w:p w:rsidR="00463E1C" w:rsidRPr="00BA31D9" w:rsidRDefault="00463E1C" w:rsidP="00BA31D9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D9">
              <w:rPr>
                <w:rFonts w:ascii="Times New Roman" w:hAnsi="Times New Roman"/>
                <w:sz w:val="24"/>
                <w:szCs w:val="24"/>
              </w:rPr>
              <w:t>цена BVAL с BVAL Score равен или выше 6, рассчитанная информационным агентством Bloomberg.</w:t>
            </w:r>
          </w:p>
          <w:p w:rsidR="002179E6" w:rsidRPr="00BA31D9" w:rsidRDefault="002179E6" w:rsidP="00BA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6" w:rsidRPr="00BA31D9" w:rsidRDefault="002179E6" w:rsidP="00BA31D9">
            <w:pPr>
              <w:pStyle w:val="a4"/>
              <w:tabs>
                <w:tab w:val="num" w:pos="840"/>
              </w:tabs>
              <w:spacing w:after="0"/>
              <w:ind w:firstLine="360"/>
              <w:jc w:val="both"/>
              <w:rPr>
                <w:rFonts w:eastAsia="Batang"/>
                <w:sz w:val="24"/>
                <w:szCs w:val="24"/>
              </w:rPr>
            </w:pPr>
            <w:r w:rsidRPr="00BA31D9">
              <w:rPr>
                <w:sz w:val="24"/>
                <w:szCs w:val="24"/>
              </w:rPr>
              <w:t>Уровень 2. В случае отсутствия активного рынка на дату оценки, а так же в случае, если основным рынком для еврооблигации является внебиржевой рынок, справедлив</w:t>
            </w:r>
            <w:r w:rsidR="000F608A">
              <w:rPr>
                <w:sz w:val="24"/>
                <w:szCs w:val="24"/>
              </w:rPr>
              <w:t>ая</w:t>
            </w:r>
            <w:r w:rsidRPr="00BA31D9">
              <w:rPr>
                <w:sz w:val="24"/>
                <w:szCs w:val="24"/>
              </w:rPr>
              <w:t xml:space="preserve"> цен</w:t>
            </w:r>
            <w:r w:rsidR="000F608A">
              <w:rPr>
                <w:sz w:val="24"/>
                <w:szCs w:val="24"/>
              </w:rPr>
              <w:t>а</w:t>
            </w:r>
            <w:r w:rsidRPr="00BA31D9">
              <w:rPr>
                <w:sz w:val="24"/>
                <w:szCs w:val="24"/>
              </w:rPr>
              <w:t xml:space="preserve"> еврооблигации </w:t>
            </w:r>
            <w:r w:rsidR="000F608A">
              <w:rPr>
                <w:color w:val="000000" w:themeColor="text1"/>
                <w:sz w:val="24"/>
                <w:szCs w:val="24"/>
              </w:rPr>
              <w:t xml:space="preserve"> рассчитывается в соответствии с Приложением 1 к Стандарту</w:t>
            </w:r>
            <w:r w:rsidR="000F608A" w:rsidRPr="00BA31D9" w:rsidDel="000F608A">
              <w:rPr>
                <w:sz w:val="24"/>
                <w:szCs w:val="24"/>
              </w:rPr>
              <w:t xml:space="preserve"> </w:t>
            </w:r>
          </w:p>
        </w:tc>
      </w:tr>
      <w:tr w:rsidR="009610F3" w:rsidRPr="00BA31D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3" w:rsidRPr="00BA31D9" w:rsidRDefault="009610F3" w:rsidP="00BA31D9">
            <w:pPr>
              <w:ind w:firstLine="426"/>
              <w:jc w:val="both"/>
              <w:rPr>
                <w:sz w:val="24"/>
                <w:szCs w:val="24"/>
              </w:rPr>
            </w:pPr>
            <w:r w:rsidRPr="00BA31D9">
              <w:rPr>
                <w:b/>
                <w:sz w:val="24"/>
                <w:szCs w:val="24"/>
              </w:rPr>
              <w:t>Долговая ценная бумага может быть отнесена к одной из четырех рейтинговых групп</w:t>
            </w:r>
            <w:r w:rsidRPr="00BA31D9">
              <w:rPr>
                <w:sz w:val="24"/>
                <w:szCs w:val="24"/>
              </w:rPr>
              <w:t xml:space="preserve"> в зависимости от кредитного рейтинга у выпуска долговой ценной бумаги (кредитный рейтинг в валюте номинала), а случае его отсутствия - рейтинга эмитента или поручителя (гаранта) долговой ценной бумаги. При наличии нескольких рейтингов, выбирается наибольший из имеющихся </w:t>
            </w:r>
            <w:r w:rsidRPr="00BA31D9">
              <w:rPr>
                <w:sz w:val="24"/>
                <w:szCs w:val="24"/>
              </w:rPr>
              <w:lastRenderedPageBreak/>
              <w:t>актуальных кредитных рейтингов. Если поручительство по выпуску долговой ценной бумаги обеспечивает исполнение обязательств в полном объёме и (или) гарантия выдана на сумму номинальной стоимости и процентов по таким долговым ценным бумагам, то выбирается наибольший из имеющихся актуальных кредитных рейтингов выпуска долговой ценной бумаги и поручителя (гаранта).</w:t>
            </w:r>
          </w:p>
          <w:tbl>
            <w:tblPr>
              <w:tblW w:w="7112" w:type="dxa"/>
              <w:jc w:val="center"/>
              <w:tblLayout w:type="fixed"/>
              <w:tblLook w:val="04A0"/>
            </w:tblPr>
            <w:tblGrid>
              <w:gridCol w:w="1845"/>
              <w:gridCol w:w="1845"/>
              <w:gridCol w:w="1845"/>
              <w:gridCol w:w="1577"/>
            </w:tblGrid>
            <w:tr w:rsidR="009610F3" w:rsidRPr="00BA31D9" w:rsidTr="00925E00">
              <w:trPr>
                <w:trHeight w:val="180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Moody`s</w:t>
                  </w:r>
                </w:p>
              </w:tc>
              <w:tc>
                <w:tcPr>
                  <w:tcW w:w="184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S&amp;P</w:t>
                  </w:r>
                </w:p>
              </w:tc>
              <w:tc>
                <w:tcPr>
                  <w:tcW w:w="184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Fitch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</w:t>
                  </w:r>
                </w:p>
              </w:tc>
            </w:tr>
            <w:tr w:rsidR="009610F3" w:rsidRPr="00BA31D9" w:rsidTr="00925E00">
              <w:trPr>
                <w:trHeight w:val="613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57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Ваа1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ВВВ+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ВВВ+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 I</w:t>
                  </w: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Ваа2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1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Ваа3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ВВВ-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ВВВ-</w:t>
                  </w:r>
                </w:p>
              </w:tc>
              <w:tc>
                <w:tcPr>
                  <w:tcW w:w="1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Ва1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ВВ+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ВВ+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 II</w:t>
                  </w: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Ва2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</w:t>
                  </w:r>
                </w:p>
              </w:tc>
              <w:tc>
                <w:tcPr>
                  <w:tcW w:w="157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Ва3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ВВ-</w:t>
                  </w:r>
                </w:p>
              </w:tc>
              <w:tc>
                <w:tcPr>
                  <w:tcW w:w="157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 II</w:t>
                  </w: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15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55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Более низкий рейтинг / рейтинг отсутствует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 I</w:t>
                  </w: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</w:tbl>
          <w:p w:rsidR="009610F3" w:rsidRPr="00BA31D9" w:rsidRDefault="009610F3" w:rsidP="00BA31D9">
            <w:pPr>
              <w:adjustRightInd w:val="0"/>
              <w:rPr>
                <w:sz w:val="24"/>
                <w:szCs w:val="24"/>
              </w:rPr>
            </w:pPr>
          </w:p>
          <w:p w:rsidR="009610F3" w:rsidRPr="00BA31D9" w:rsidRDefault="009610F3" w:rsidP="00BA31D9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3" w:rsidRPr="00BA31D9" w:rsidRDefault="009610F3" w:rsidP="00BA31D9">
            <w:pPr>
              <w:ind w:firstLine="426"/>
              <w:jc w:val="both"/>
              <w:rPr>
                <w:sz w:val="24"/>
                <w:szCs w:val="24"/>
              </w:rPr>
            </w:pPr>
            <w:r w:rsidRPr="00BA31D9">
              <w:rPr>
                <w:b/>
                <w:sz w:val="24"/>
                <w:szCs w:val="24"/>
              </w:rPr>
              <w:lastRenderedPageBreak/>
              <w:t>Долговая ценная бумага может быть отнесена к одной из четырех рейтинговых групп</w:t>
            </w:r>
            <w:r w:rsidRPr="00BA31D9">
              <w:rPr>
                <w:sz w:val="24"/>
                <w:szCs w:val="24"/>
              </w:rPr>
              <w:t xml:space="preserve"> в зависимости от кредитного рейтинга у выпуска долговой ценной бумаги (кредитный рейтинг в валюте номинала), а случае его отсутствия - рейтинга эмитента или поручителя (гаранта) долговой ценной бумаги. При наличии нескольких рейтингов, выбирается </w:t>
            </w:r>
            <w:r w:rsidR="009E4AB5" w:rsidRPr="00BA31D9">
              <w:rPr>
                <w:b/>
                <w:sz w:val="24"/>
                <w:szCs w:val="24"/>
              </w:rPr>
              <w:t xml:space="preserve">наиболее актуальный на дату </w:t>
            </w:r>
            <w:r w:rsidR="009E4AB5" w:rsidRPr="00BA31D9">
              <w:rPr>
                <w:b/>
                <w:sz w:val="24"/>
                <w:szCs w:val="24"/>
              </w:rPr>
              <w:lastRenderedPageBreak/>
              <w:t>оценки кредитный рейтинг.</w:t>
            </w:r>
            <w:r w:rsidRPr="00BA31D9">
              <w:rPr>
                <w:sz w:val="24"/>
                <w:szCs w:val="24"/>
              </w:rPr>
              <w:t xml:space="preserve"> Если поручительство по выпуску долговой ценной бумаги обеспечивает исполнение обязательств в полном объёме и (или) гарантия выдана на сумму номинальной стоимости и процентов по таким долговым ценным бумагам, то выбирается</w:t>
            </w:r>
            <w:r w:rsidR="009E4AB5" w:rsidRPr="00BA31D9">
              <w:rPr>
                <w:b/>
                <w:sz w:val="24"/>
                <w:szCs w:val="24"/>
              </w:rPr>
              <w:t xml:space="preserve"> наиболее актуальный на дату оценки кредитный рейтинг</w:t>
            </w:r>
            <w:r w:rsidRPr="00BA31D9">
              <w:rPr>
                <w:sz w:val="24"/>
                <w:szCs w:val="24"/>
              </w:rPr>
              <w:t xml:space="preserve"> выпуска долговой ценной бумаги и поручителя (гаранта).</w:t>
            </w:r>
          </w:p>
          <w:tbl>
            <w:tblPr>
              <w:tblW w:w="7112" w:type="dxa"/>
              <w:jc w:val="center"/>
              <w:tblLayout w:type="fixed"/>
              <w:tblLook w:val="04A0"/>
            </w:tblPr>
            <w:tblGrid>
              <w:gridCol w:w="1845"/>
              <w:gridCol w:w="1845"/>
              <w:gridCol w:w="1845"/>
              <w:gridCol w:w="1577"/>
            </w:tblGrid>
            <w:tr w:rsidR="009610F3" w:rsidRPr="00BA31D9" w:rsidTr="00925E00">
              <w:trPr>
                <w:trHeight w:val="180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Moody`s</w:t>
                  </w:r>
                </w:p>
              </w:tc>
              <w:tc>
                <w:tcPr>
                  <w:tcW w:w="184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S&amp;P</w:t>
                  </w:r>
                </w:p>
              </w:tc>
              <w:tc>
                <w:tcPr>
                  <w:tcW w:w="184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Fitch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</w:t>
                  </w:r>
                </w:p>
              </w:tc>
            </w:tr>
            <w:tr w:rsidR="009610F3" w:rsidRPr="00BA31D9" w:rsidTr="00925E00">
              <w:trPr>
                <w:trHeight w:val="613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Международная шкала</w:t>
                  </w:r>
                </w:p>
              </w:tc>
              <w:tc>
                <w:tcPr>
                  <w:tcW w:w="157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Ваа1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ВВВ+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ВВВ+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 I</w:t>
                  </w: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Ваа2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1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Ваа3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ВВВ-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ВВВ-</w:t>
                  </w:r>
                </w:p>
              </w:tc>
              <w:tc>
                <w:tcPr>
                  <w:tcW w:w="1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Ва1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ВВ+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A31D9">
                    <w:rPr>
                      <w:sz w:val="24"/>
                      <w:szCs w:val="24"/>
                    </w:rPr>
                    <w:t>ВВ+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 II</w:t>
                  </w: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Ва2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</w:t>
                  </w:r>
                </w:p>
              </w:tc>
              <w:tc>
                <w:tcPr>
                  <w:tcW w:w="157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Ва3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ВВ-</w:t>
                  </w:r>
                </w:p>
              </w:tc>
              <w:tc>
                <w:tcPr>
                  <w:tcW w:w="157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 II</w:t>
                  </w: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15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10F3" w:rsidRPr="00BA31D9" w:rsidTr="00925E00">
              <w:trPr>
                <w:trHeight w:val="345"/>
                <w:jc w:val="center"/>
              </w:trPr>
              <w:tc>
                <w:tcPr>
                  <w:tcW w:w="55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610F3" w:rsidRPr="00BA31D9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color w:val="000000"/>
                      <w:sz w:val="24"/>
                      <w:szCs w:val="24"/>
                    </w:rPr>
                    <w:t>Более низкий рейтинг / рейтинг отсутствует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0F3" w:rsidRPr="007E5A52" w:rsidRDefault="009610F3" w:rsidP="0006309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Рейтинговая группа I</w:t>
                  </w:r>
                  <w:r w:rsidRPr="00BA31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</w:tbl>
          <w:p w:rsidR="009610F3" w:rsidRPr="00BA31D9" w:rsidRDefault="009610F3" w:rsidP="00BA31D9">
            <w:pPr>
              <w:adjustRightInd w:val="0"/>
              <w:rPr>
                <w:sz w:val="24"/>
                <w:szCs w:val="24"/>
              </w:rPr>
            </w:pPr>
          </w:p>
          <w:p w:rsidR="00BA31D9" w:rsidRPr="00BA31D9" w:rsidRDefault="00BA31D9" w:rsidP="00BA31D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BA31D9">
              <w:rPr>
                <w:rFonts w:ascii="Times New Roman" w:hAnsi="Times New Roman"/>
                <w:b/>
                <w:sz w:val="24"/>
                <w:szCs w:val="24"/>
              </w:rPr>
              <w:t>Рейтинги пересматриваются в зависимости от изменения рейтинга Российской Федерации.</w:t>
            </w:r>
          </w:p>
          <w:p w:rsidR="009610F3" w:rsidRPr="00BA31D9" w:rsidRDefault="009610F3" w:rsidP="00BA31D9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</w:tr>
      <w:tr w:rsidR="00463E1C" w:rsidRPr="00BA31D9" w:rsidTr="00463E1C">
        <w:trPr>
          <w:trHeight w:val="554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1C" w:rsidRPr="00BA31D9" w:rsidRDefault="00463E1C" w:rsidP="00BA31D9">
            <w:pPr>
              <w:ind w:firstLine="42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31D9">
              <w:rPr>
                <w:b/>
                <w:color w:val="000000" w:themeColor="text1"/>
                <w:sz w:val="24"/>
                <w:szCs w:val="24"/>
              </w:rPr>
              <w:lastRenderedPageBreak/>
              <w:t>Приложение №5</w:t>
            </w:r>
            <w:r w:rsidR="00AF3024" w:rsidRPr="00BA31D9">
              <w:rPr>
                <w:b/>
                <w:color w:val="000000" w:themeColor="text1"/>
                <w:sz w:val="24"/>
                <w:szCs w:val="24"/>
              </w:rPr>
              <w:t xml:space="preserve">  к Стандарту</w:t>
            </w:r>
            <w:r w:rsidRPr="00BA31D9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A31D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Методика оценки кредитного риска контрагента</w:t>
            </w:r>
          </w:p>
        </w:tc>
      </w:tr>
      <w:tr w:rsidR="00463E1C" w:rsidRPr="00BA31D9" w:rsidTr="00463E1C">
        <w:trPr>
          <w:trHeight w:val="290"/>
        </w:trPr>
        <w:tc>
          <w:tcPr>
            <w:tcW w:w="1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1C" w:rsidRPr="00BA31D9" w:rsidRDefault="00463E1C" w:rsidP="00BA31D9">
            <w:pPr>
              <w:ind w:firstLine="426"/>
              <w:jc w:val="center"/>
              <w:rPr>
                <w:color w:val="000000" w:themeColor="text1"/>
                <w:sz w:val="24"/>
                <w:szCs w:val="24"/>
              </w:rPr>
            </w:pPr>
            <w:r w:rsidRPr="00BA31D9">
              <w:rPr>
                <w:color w:val="000000" w:themeColor="text1"/>
                <w:sz w:val="24"/>
                <w:szCs w:val="24"/>
              </w:rPr>
              <w:t>Таблица 1. Соответствие шкал рейтингов</w:t>
            </w:r>
          </w:p>
        </w:tc>
      </w:tr>
      <w:tr w:rsidR="002179E6" w:rsidRPr="004E2289" w:rsidTr="00A3101E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74" w:type="dxa"/>
              <w:jc w:val="center"/>
              <w:tblLayout w:type="fixed"/>
              <w:tblLook w:val="04A0"/>
            </w:tblPr>
            <w:tblGrid>
              <w:gridCol w:w="1048"/>
              <w:gridCol w:w="894"/>
              <w:gridCol w:w="1544"/>
              <w:gridCol w:w="1787"/>
              <w:gridCol w:w="1301"/>
            </w:tblGrid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8D8D8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АКРА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8D8D8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Эксперт РА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Moody`s</w:t>
                  </w:r>
                </w:p>
              </w:tc>
              <w:tc>
                <w:tcPr>
                  <w:tcW w:w="17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8D8D8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S&amp;P</w:t>
                  </w:r>
                </w:p>
              </w:tc>
              <w:tc>
                <w:tcPr>
                  <w:tcW w:w="1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Fitch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Междунаро</w:t>
                  </w: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дная шкала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Международн</w:t>
                  </w: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ая шкала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Междуна</w:t>
                  </w: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родная шкала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Ваа1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ВВВ+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ВВВ+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ind w:left="-118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Ваа2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ВВВ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ВВВ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AAA(RU)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ruAAA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Ваа3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ВВВ</w:t>
                  </w: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ВВВ-</w:t>
                  </w:r>
                </w:p>
              </w:tc>
            </w:tr>
            <w:tr w:rsidR="00463E1C" w:rsidRPr="004E2289" w:rsidTr="00463E1C">
              <w:trPr>
                <w:trHeight w:val="1001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fr-FR" w:eastAsia="en-US"/>
                    </w:rPr>
                    <w:t>AA+(RU), AA(RU), AA-(RU)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ruAA+, ruAA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Ва1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ВВ+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ВВ+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A+(RU), A(RU)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ruAA-, ruA+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Ва2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A-(RU), BBB+(RU)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ruA, ruA-, ruBBB+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Ва3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ВВ-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ВВ-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BBB(RU), BBB-(RU)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ruBBB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В+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В+</w:t>
                  </w:r>
                </w:p>
              </w:tc>
            </w:tr>
            <w:tr w:rsidR="00463E1C" w:rsidRPr="004E2289" w:rsidTr="00463E1C">
              <w:trPr>
                <w:trHeight w:val="419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BB+(RU)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ruBBB-, ruBB+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BB(RU), BB-(RU)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ruBB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B3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B-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B-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CCC, CC, C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CCC, CC, C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Caa, Ca, C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CCC, C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CCC, C</w:t>
                  </w:r>
                </w:p>
              </w:tc>
            </w:tr>
          </w:tbl>
          <w:p w:rsidR="002179E6" w:rsidRPr="004E2289" w:rsidRDefault="002179E6" w:rsidP="004E228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74" w:type="dxa"/>
              <w:jc w:val="center"/>
              <w:tblLayout w:type="fixed"/>
              <w:tblLook w:val="04A0"/>
            </w:tblPr>
            <w:tblGrid>
              <w:gridCol w:w="1048"/>
              <w:gridCol w:w="894"/>
              <w:gridCol w:w="1544"/>
              <w:gridCol w:w="1787"/>
              <w:gridCol w:w="1301"/>
            </w:tblGrid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8D8D8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АКРА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8D8D8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Эксперт РА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Moody`s</w:t>
                  </w:r>
                </w:p>
              </w:tc>
              <w:tc>
                <w:tcPr>
                  <w:tcW w:w="17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8D8D8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S&amp;P</w:t>
                  </w:r>
                </w:p>
              </w:tc>
              <w:tc>
                <w:tcPr>
                  <w:tcW w:w="1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Fitch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Междунаро</w:t>
                  </w: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дная шкала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Международн</w:t>
                  </w: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ая шкала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Междуна</w:t>
                  </w:r>
                  <w:r w:rsidRPr="004E228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родная шкала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Ваа1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ВВВ+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ВВВ+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ind w:left="-118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Ваа2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ВВВ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ВВВ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AAA(RU)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ruAAA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Ваа3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ВВВ-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ВВВ-</w:t>
                  </w:r>
                </w:p>
              </w:tc>
            </w:tr>
            <w:tr w:rsidR="00463E1C" w:rsidRPr="004E2289" w:rsidTr="00463E1C">
              <w:trPr>
                <w:trHeight w:val="1001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fr-FR" w:eastAsia="en-US"/>
                    </w:rPr>
                    <w:t>AA+(RU), AA(RU), AA-(RU)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ruAA+, ruAA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Ва1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ВВ+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ВВ+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A+(RU), A(RU)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ruAA-, ruA+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Ва2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A-(RU), BBB+(RU)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ruA, ruA-, ruBBB+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Ва3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ВВ-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ВВ-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BBB(RU), BBB-(RU)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ruBBB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В+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В+</w:t>
                  </w:r>
                </w:p>
              </w:tc>
            </w:tr>
            <w:tr w:rsidR="00463E1C" w:rsidRPr="004E2289" w:rsidTr="00463E1C">
              <w:trPr>
                <w:trHeight w:val="419"/>
                <w:jc w:val="center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BB+(RU)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ruBBB-, ruBB+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BB(RU), BB-(RU)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ruBB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B3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B-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/>
                  <w:vAlign w:val="center"/>
                  <w:hideMark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B-</w:t>
                  </w:r>
                </w:p>
              </w:tc>
            </w:tr>
            <w:tr w:rsidR="00463E1C" w:rsidRPr="004E2289" w:rsidTr="00463E1C">
              <w:trPr>
                <w:trHeight w:val="318"/>
                <w:jc w:val="center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CCC, CC, C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CCC, CC, C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Caa, Ca, C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CCC, C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463E1C" w:rsidRPr="004E2289" w:rsidRDefault="00463E1C" w:rsidP="004E22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4E2289">
                    <w:rPr>
                      <w:rFonts w:eastAsiaTheme="minorHAnsi"/>
                      <w:color w:val="000000"/>
                      <w:sz w:val="24"/>
                      <w:szCs w:val="24"/>
                      <w:lang w:val="en-US" w:eastAsia="en-US"/>
                    </w:rPr>
                    <w:t>CCC, C</w:t>
                  </w:r>
                </w:p>
              </w:tc>
            </w:tr>
          </w:tbl>
          <w:p w:rsidR="002179E6" w:rsidRPr="004E2289" w:rsidRDefault="002179E6" w:rsidP="004E2289">
            <w:pPr>
              <w:ind w:firstLine="42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79E6" w:rsidRPr="00BA31D9" w:rsidTr="004E2289">
        <w:trPr>
          <w:trHeight w:val="50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6" w:rsidRPr="004E2289" w:rsidRDefault="002179E6" w:rsidP="004E228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D9" w:rsidRPr="004E2289" w:rsidRDefault="00BA31D9" w:rsidP="004E2289">
            <w:pPr>
              <w:pStyle w:val="ab"/>
              <w:tabs>
                <w:tab w:val="left" w:pos="2127"/>
              </w:tabs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4E2289">
              <w:rPr>
                <w:rFonts w:ascii="Times New Roman" w:hAnsi="Times New Roman"/>
                <w:b/>
                <w:sz w:val="24"/>
                <w:szCs w:val="24"/>
              </w:rPr>
              <w:t>Рейтинги пересматриваются в зависимости от изменения рейтинга Российской Федерации.</w:t>
            </w:r>
          </w:p>
          <w:p w:rsidR="002179E6" w:rsidRPr="004E2289" w:rsidRDefault="002179E6" w:rsidP="004E2289">
            <w:pPr>
              <w:ind w:firstLine="42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32901" w:rsidRDefault="00832901" w:rsidP="004E2289"/>
    <w:sectPr w:rsidR="00832901" w:rsidSect="00A3101E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64" w:rsidRDefault="00ED2264" w:rsidP="00137F58">
      <w:r>
        <w:separator/>
      </w:r>
    </w:p>
  </w:endnote>
  <w:endnote w:type="continuationSeparator" w:id="0">
    <w:p w:rsidR="00ED2264" w:rsidRDefault="00ED2264" w:rsidP="0013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64" w:rsidRDefault="00ED2264" w:rsidP="00137F58">
      <w:r>
        <w:separator/>
      </w:r>
    </w:p>
  </w:footnote>
  <w:footnote w:type="continuationSeparator" w:id="0">
    <w:p w:rsidR="00ED2264" w:rsidRDefault="00ED2264" w:rsidP="00137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00" w:rsidRDefault="00925E00">
    <w:pPr>
      <w:pStyle w:val="af0"/>
    </w:pPr>
  </w:p>
  <w:p w:rsidR="00925E00" w:rsidRDefault="00925E0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1D"/>
    <w:multiLevelType w:val="hybridMultilevel"/>
    <w:tmpl w:val="1BA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57C"/>
    <w:multiLevelType w:val="hybridMultilevel"/>
    <w:tmpl w:val="A3D0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1059"/>
    <w:multiLevelType w:val="hybridMultilevel"/>
    <w:tmpl w:val="B202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82D"/>
    <w:multiLevelType w:val="hybridMultilevel"/>
    <w:tmpl w:val="F4C6E258"/>
    <w:lvl w:ilvl="0" w:tplc="F3769618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A817770"/>
    <w:multiLevelType w:val="hybridMultilevel"/>
    <w:tmpl w:val="C02A7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E46145"/>
    <w:multiLevelType w:val="multilevel"/>
    <w:tmpl w:val="8034B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CA5181B"/>
    <w:multiLevelType w:val="hybridMultilevel"/>
    <w:tmpl w:val="D72AE5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11127E"/>
    <w:multiLevelType w:val="hybridMultilevel"/>
    <w:tmpl w:val="39F0F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D7CCA"/>
    <w:multiLevelType w:val="hybridMultilevel"/>
    <w:tmpl w:val="5A248178"/>
    <w:lvl w:ilvl="0" w:tplc="0D9A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63C1E"/>
    <w:multiLevelType w:val="hybridMultilevel"/>
    <w:tmpl w:val="FAD08028"/>
    <w:lvl w:ilvl="0" w:tplc="8D825D2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BB3A50"/>
    <w:multiLevelType w:val="hybridMultilevel"/>
    <w:tmpl w:val="89841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222A"/>
    <w:multiLevelType w:val="hybridMultilevel"/>
    <w:tmpl w:val="7842FEDC"/>
    <w:lvl w:ilvl="0" w:tplc="2AA08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FE64D2">
      <w:start w:val="1"/>
      <w:numFmt w:val="lowerLetter"/>
      <w:lvlText w:val="%2."/>
      <w:lvlJc w:val="left"/>
      <w:pPr>
        <w:ind w:left="1440" w:hanging="360"/>
      </w:pPr>
    </w:lvl>
    <w:lvl w:ilvl="2" w:tplc="57420054" w:tentative="1">
      <w:start w:val="1"/>
      <w:numFmt w:val="lowerRoman"/>
      <w:lvlText w:val="%3."/>
      <w:lvlJc w:val="right"/>
      <w:pPr>
        <w:ind w:left="2160" w:hanging="180"/>
      </w:pPr>
    </w:lvl>
    <w:lvl w:ilvl="3" w:tplc="010207E8" w:tentative="1">
      <w:start w:val="1"/>
      <w:numFmt w:val="decimal"/>
      <w:lvlText w:val="%4."/>
      <w:lvlJc w:val="left"/>
      <w:pPr>
        <w:ind w:left="2880" w:hanging="360"/>
      </w:pPr>
    </w:lvl>
    <w:lvl w:ilvl="4" w:tplc="93B4C5BC" w:tentative="1">
      <w:start w:val="1"/>
      <w:numFmt w:val="lowerLetter"/>
      <w:lvlText w:val="%5."/>
      <w:lvlJc w:val="left"/>
      <w:pPr>
        <w:ind w:left="3600" w:hanging="360"/>
      </w:pPr>
    </w:lvl>
    <w:lvl w:ilvl="5" w:tplc="447251AC" w:tentative="1">
      <w:start w:val="1"/>
      <w:numFmt w:val="lowerRoman"/>
      <w:lvlText w:val="%6."/>
      <w:lvlJc w:val="right"/>
      <w:pPr>
        <w:ind w:left="4320" w:hanging="180"/>
      </w:pPr>
    </w:lvl>
    <w:lvl w:ilvl="6" w:tplc="A622DA84" w:tentative="1">
      <w:start w:val="1"/>
      <w:numFmt w:val="decimal"/>
      <w:lvlText w:val="%7."/>
      <w:lvlJc w:val="left"/>
      <w:pPr>
        <w:ind w:left="5040" w:hanging="360"/>
      </w:pPr>
    </w:lvl>
    <w:lvl w:ilvl="7" w:tplc="7CFEC1A0" w:tentative="1">
      <w:start w:val="1"/>
      <w:numFmt w:val="lowerLetter"/>
      <w:lvlText w:val="%8."/>
      <w:lvlJc w:val="left"/>
      <w:pPr>
        <w:ind w:left="5760" w:hanging="360"/>
      </w:pPr>
    </w:lvl>
    <w:lvl w:ilvl="8" w:tplc="C0F4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31296"/>
    <w:multiLevelType w:val="multilevel"/>
    <w:tmpl w:val="845E6BD4"/>
    <w:lvl w:ilvl="0">
      <w:start w:val="1"/>
      <w:numFmt w:val="bullet"/>
      <w:lvlText w:val="-"/>
      <w:lvlJc w:val="left"/>
      <w:pPr>
        <w:ind w:left="780" w:hanging="780"/>
      </w:pPr>
      <w:rPr>
        <w:rFonts w:ascii="Calibri" w:eastAsiaTheme="minorHAnsi" w:hAnsi="Calibri" w:cstheme="minorBidi" w:hint="default"/>
      </w:rPr>
    </w:lvl>
    <w:lvl w:ilvl="1">
      <w:start w:val="5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3">
    <w:nsid w:val="43473A97"/>
    <w:multiLevelType w:val="hybridMultilevel"/>
    <w:tmpl w:val="FD6C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7BDA"/>
    <w:multiLevelType w:val="hybridMultilevel"/>
    <w:tmpl w:val="060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3653C2"/>
    <w:multiLevelType w:val="hybridMultilevel"/>
    <w:tmpl w:val="621C6510"/>
    <w:lvl w:ilvl="0" w:tplc="D554A29A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>
    <w:nsid w:val="5AAE040D"/>
    <w:multiLevelType w:val="hybridMultilevel"/>
    <w:tmpl w:val="B238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F7D67"/>
    <w:multiLevelType w:val="hybridMultilevel"/>
    <w:tmpl w:val="0EF63CA2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8B6FC3"/>
    <w:multiLevelType w:val="hybridMultilevel"/>
    <w:tmpl w:val="7842FEDC"/>
    <w:lvl w:ilvl="0" w:tplc="2AA08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FE64D2">
      <w:start w:val="1"/>
      <w:numFmt w:val="lowerLetter"/>
      <w:lvlText w:val="%2."/>
      <w:lvlJc w:val="left"/>
      <w:pPr>
        <w:ind w:left="1440" w:hanging="360"/>
      </w:pPr>
    </w:lvl>
    <w:lvl w:ilvl="2" w:tplc="57420054" w:tentative="1">
      <w:start w:val="1"/>
      <w:numFmt w:val="lowerRoman"/>
      <w:lvlText w:val="%3."/>
      <w:lvlJc w:val="right"/>
      <w:pPr>
        <w:ind w:left="2160" w:hanging="180"/>
      </w:pPr>
    </w:lvl>
    <w:lvl w:ilvl="3" w:tplc="010207E8" w:tentative="1">
      <w:start w:val="1"/>
      <w:numFmt w:val="decimal"/>
      <w:lvlText w:val="%4."/>
      <w:lvlJc w:val="left"/>
      <w:pPr>
        <w:ind w:left="2880" w:hanging="360"/>
      </w:pPr>
    </w:lvl>
    <w:lvl w:ilvl="4" w:tplc="93B4C5BC" w:tentative="1">
      <w:start w:val="1"/>
      <w:numFmt w:val="lowerLetter"/>
      <w:lvlText w:val="%5."/>
      <w:lvlJc w:val="left"/>
      <w:pPr>
        <w:ind w:left="3600" w:hanging="360"/>
      </w:pPr>
    </w:lvl>
    <w:lvl w:ilvl="5" w:tplc="447251AC" w:tentative="1">
      <w:start w:val="1"/>
      <w:numFmt w:val="lowerRoman"/>
      <w:lvlText w:val="%6."/>
      <w:lvlJc w:val="right"/>
      <w:pPr>
        <w:ind w:left="4320" w:hanging="180"/>
      </w:pPr>
    </w:lvl>
    <w:lvl w:ilvl="6" w:tplc="A622DA84" w:tentative="1">
      <w:start w:val="1"/>
      <w:numFmt w:val="decimal"/>
      <w:lvlText w:val="%7."/>
      <w:lvlJc w:val="left"/>
      <w:pPr>
        <w:ind w:left="5040" w:hanging="360"/>
      </w:pPr>
    </w:lvl>
    <w:lvl w:ilvl="7" w:tplc="7CFEC1A0" w:tentative="1">
      <w:start w:val="1"/>
      <w:numFmt w:val="lowerLetter"/>
      <w:lvlText w:val="%8."/>
      <w:lvlJc w:val="left"/>
      <w:pPr>
        <w:ind w:left="5760" w:hanging="360"/>
      </w:pPr>
    </w:lvl>
    <w:lvl w:ilvl="8" w:tplc="C0F4ED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0"/>
  </w:num>
  <w:num w:numId="5">
    <w:abstractNumId w:val="15"/>
  </w:num>
  <w:num w:numId="6">
    <w:abstractNumId w:val="19"/>
  </w:num>
  <w:num w:numId="7">
    <w:abstractNumId w:val="15"/>
  </w:num>
  <w:num w:numId="8">
    <w:abstractNumId w:val="15"/>
  </w:num>
  <w:num w:numId="9">
    <w:abstractNumId w:val="15"/>
  </w:num>
  <w:num w:numId="10">
    <w:abstractNumId w:val="1"/>
  </w:num>
  <w:num w:numId="11">
    <w:abstractNumId w:val="3"/>
  </w:num>
  <w:num w:numId="12">
    <w:abstractNumId w:val="4"/>
  </w:num>
  <w:num w:numId="13">
    <w:abstractNumId w:val="18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6"/>
  </w:num>
  <w:num w:numId="19">
    <w:abstractNumId w:val="13"/>
  </w:num>
  <w:num w:numId="20">
    <w:abstractNumId w:val="2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истова Вера">
    <w15:presenceInfo w15:providerId="None" w15:userId="Аристова Вер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901"/>
    <w:rsid w:val="000228F8"/>
    <w:rsid w:val="00057EDD"/>
    <w:rsid w:val="0006309C"/>
    <w:rsid w:val="00075A76"/>
    <w:rsid w:val="00076440"/>
    <w:rsid w:val="000B1452"/>
    <w:rsid w:val="000B64B3"/>
    <w:rsid w:val="000C2E7E"/>
    <w:rsid w:val="000F608A"/>
    <w:rsid w:val="000F61EC"/>
    <w:rsid w:val="00127FD2"/>
    <w:rsid w:val="001327C4"/>
    <w:rsid w:val="00137F58"/>
    <w:rsid w:val="00156ACE"/>
    <w:rsid w:val="00156C9A"/>
    <w:rsid w:val="0017799A"/>
    <w:rsid w:val="001F7081"/>
    <w:rsid w:val="00203BE5"/>
    <w:rsid w:val="0021509A"/>
    <w:rsid w:val="002179E6"/>
    <w:rsid w:val="00274FE7"/>
    <w:rsid w:val="002B39CC"/>
    <w:rsid w:val="002D66DD"/>
    <w:rsid w:val="00341AB0"/>
    <w:rsid w:val="00355D53"/>
    <w:rsid w:val="00372C61"/>
    <w:rsid w:val="003875EA"/>
    <w:rsid w:val="004332F8"/>
    <w:rsid w:val="00452DCE"/>
    <w:rsid w:val="00457C71"/>
    <w:rsid w:val="00463E1C"/>
    <w:rsid w:val="004C5756"/>
    <w:rsid w:val="004E2289"/>
    <w:rsid w:val="00523C07"/>
    <w:rsid w:val="00577699"/>
    <w:rsid w:val="00594E58"/>
    <w:rsid w:val="006E40E1"/>
    <w:rsid w:val="00707E58"/>
    <w:rsid w:val="007E02A1"/>
    <w:rsid w:val="007E5A52"/>
    <w:rsid w:val="007F6D4A"/>
    <w:rsid w:val="00832901"/>
    <w:rsid w:val="00877D11"/>
    <w:rsid w:val="008958EF"/>
    <w:rsid w:val="00907636"/>
    <w:rsid w:val="00924A8E"/>
    <w:rsid w:val="00925D39"/>
    <w:rsid w:val="00925E00"/>
    <w:rsid w:val="00933983"/>
    <w:rsid w:val="009610F3"/>
    <w:rsid w:val="00966FA0"/>
    <w:rsid w:val="009C22B3"/>
    <w:rsid w:val="009E4AB5"/>
    <w:rsid w:val="00A22316"/>
    <w:rsid w:val="00A23C72"/>
    <w:rsid w:val="00A3101E"/>
    <w:rsid w:val="00A9363C"/>
    <w:rsid w:val="00AC0144"/>
    <w:rsid w:val="00AD6667"/>
    <w:rsid w:val="00AF3024"/>
    <w:rsid w:val="00AF55E2"/>
    <w:rsid w:val="00B872CB"/>
    <w:rsid w:val="00BA27A3"/>
    <w:rsid w:val="00BA31D9"/>
    <w:rsid w:val="00C270FE"/>
    <w:rsid w:val="00C83AD9"/>
    <w:rsid w:val="00C87794"/>
    <w:rsid w:val="00D63D4D"/>
    <w:rsid w:val="00D71151"/>
    <w:rsid w:val="00D95A5B"/>
    <w:rsid w:val="00E87166"/>
    <w:rsid w:val="00ED2264"/>
    <w:rsid w:val="00F224E0"/>
    <w:rsid w:val="00F54A50"/>
    <w:rsid w:val="00F64968"/>
    <w:rsid w:val="00F7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9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832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uiPriority w:val="99"/>
    <w:rsid w:val="00832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83290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8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0"/>
    <w:rsid w:val="00832901"/>
    <w:pPr>
      <w:autoSpaceDE/>
      <w:autoSpaceDN/>
      <w:ind w:left="720"/>
    </w:pPr>
    <w:rPr>
      <w:sz w:val="24"/>
    </w:rPr>
  </w:style>
  <w:style w:type="character" w:styleId="a6">
    <w:name w:val="annotation reference"/>
    <w:semiHidden/>
    <w:rsid w:val="00832901"/>
    <w:rPr>
      <w:sz w:val="16"/>
    </w:rPr>
  </w:style>
  <w:style w:type="paragraph" w:styleId="a7">
    <w:name w:val="annotation text"/>
    <w:basedOn w:val="a0"/>
    <w:link w:val="a8"/>
    <w:rsid w:val="00832901"/>
    <w:pPr>
      <w:autoSpaceDE/>
      <w:autoSpaceDN/>
    </w:pPr>
  </w:style>
  <w:style w:type="character" w:customStyle="1" w:styleId="a8">
    <w:name w:val="Текст примечания Знак"/>
    <w:basedOn w:val="a1"/>
    <w:link w:val="a7"/>
    <w:rsid w:val="008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32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329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link w:val="ac"/>
    <w:uiPriority w:val="34"/>
    <w:qFormat/>
    <w:rsid w:val="0083290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832901"/>
    <w:rPr>
      <w:rFonts w:ascii="Calibri" w:eastAsia="Calibri" w:hAnsi="Calibri" w:cs="Times New Roman"/>
    </w:rPr>
  </w:style>
  <w:style w:type="character" w:customStyle="1" w:styleId="BodyTextIndentChar">
    <w:name w:val="Body Text Indent Char"/>
    <w:rsid w:val="00156C9A"/>
    <w:rPr>
      <w:rFonts w:ascii="Batang" w:eastAsia="Batang" w:hAnsi="Batang"/>
      <w:noProof w:val="0"/>
      <w:sz w:val="24"/>
    </w:rPr>
  </w:style>
  <w:style w:type="paragraph" w:customStyle="1" w:styleId="1">
    <w:name w:val="Раздел 1"/>
    <w:basedOn w:val="ab"/>
    <w:link w:val="11"/>
    <w:qFormat/>
    <w:rsid w:val="000C2E7E"/>
    <w:pPr>
      <w:keepNext/>
      <w:numPr>
        <w:ilvl w:val="1"/>
        <w:numId w:val="5"/>
      </w:numPr>
      <w:spacing w:before="240" w:after="0" w:line="240" w:lineRule="auto"/>
      <w:jc w:val="both"/>
    </w:pPr>
    <w:rPr>
      <w:b/>
    </w:rPr>
  </w:style>
  <w:style w:type="paragraph" w:customStyle="1" w:styleId="a">
    <w:name w:val="Часть"/>
    <w:basedOn w:val="a0"/>
    <w:qFormat/>
    <w:rsid w:val="000C2E7E"/>
    <w:pPr>
      <w:keepNext/>
      <w:widowControl w:val="0"/>
      <w:numPr>
        <w:numId w:val="5"/>
      </w:numPr>
      <w:autoSpaceDE/>
      <w:autoSpaceDN/>
      <w:spacing w:before="360" w:after="120"/>
      <w:jc w:val="center"/>
    </w:pPr>
    <w:rPr>
      <w:rFonts w:eastAsia="Calibri"/>
      <w:b/>
      <w:bCs/>
      <w:sz w:val="24"/>
      <w:szCs w:val="22"/>
      <w:lang w:eastAsia="en-US"/>
    </w:rPr>
  </w:style>
  <w:style w:type="paragraph" w:customStyle="1" w:styleId="2">
    <w:name w:val="Раздел 2"/>
    <w:basedOn w:val="1"/>
    <w:qFormat/>
    <w:rsid w:val="000C2E7E"/>
    <w:pPr>
      <w:numPr>
        <w:ilvl w:val="2"/>
      </w:numPr>
      <w:tabs>
        <w:tab w:val="num" w:pos="360"/>
      </w:tabs>
      <w:spacing w:before="120"/>
      <w:ind w:left="1224" w:hanging="720"/>
    </w:pPr>
  </w:style>
  <w:style w:type="paragraph" w:customStyle="1" w:styleId="3">
    <w:name w:val="Раздел 3"/>
    <w:basedOn w:val="2"/>
    <w:qFormat/>
    <w:rsid w:val="000C2E7E"/>
    <w:pPr>
      <w:numPr>
        <w:ilvl w:val="3"/>
      </w:numPr>
      <w:tabs>
        <w:tab w:val="num" w:pos="360"/>
      </w:tabs>
      <w:ind w:left="1728" w:hanging="648"/>
    </w:pPr>
  </w:style>
  <w:style w:type="character" w:customStyle="1" w:styleId="11">
    <w:name w:val="Раздел 1 Знак1"/>
    <w:basedOn w:val="ac"/>
    <w:link w:val="1"/>
    <w:rsid w:val="000C2E7E"/>
    <w:rPr>
      <w:rFonts w:ascii="Calibri" w:eastAsia="Calibri" w:hAnsi="Calibri" w:cs="Times New Roman"/>
      <w:b/>
    </w:rPr>
  </w:style>
  <w:style w:type="paragraph" w:customStyle="1" w:styleId="4">
    <w:name w:val="Раздел 4"/>
    <w:basedOn w:val="3"/>
    <w:qFormat/>
    <w:rsid w:val="000C2E7E"/>
    <w:pPr>
      <w:numPr>
        <w:ilvl w:val="4"/>
      </w:numPr>
      <w:tabs>
        <w:tab w:val="num" w:pos="360"/>
      </w:tabs>
      <w:ind w:left="2232" w:hanging="792"/>
    </w:pPr>
    <w:rPr>
      <w:i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F64968"/>
    <w:pPr>
      <w:autoSpaceDE w:val="0"/>
      <w:autoSpaceDN w:val="0"/>
    </w:pPr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F649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A3101E"/>
    <w:rPr>
      <w:color w:val="0000FF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137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37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137F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37F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9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832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uiPriority w:val="99"/>
    <w:rsid w:val="00832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83290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8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0"/>
    <w:rsid w:val="00832901"/>
    <w:pPr>
      <w:autoSpaceDE/>
      <w:autoSpaceDN/>
      <w:ind w:left="720"/>
    </w:pPr>
    <w:rPr>
      <w:sz w:val="24"/>
    </w:rPr>
  </w:style>
  <w:style w:type="character" w:styleId="a6">
    <w:name w:val="annotation reference"/>
    <w:semiHidden/>
    <w:rsid w:val="00832901"/>
    <w:rPr>
      <w:sz w:val="16"/>
    </w:rPr>
  </w:style>
  <w:style w:type="paragraph" w:styleId="a7">
    <w:name w:val="annotation text"/>
    <w:basedOn w:val="a0"/>
    <w:link w:val="a8"/>
    <w:rsid w:val="00832901"/>
    <w:pPr>
      <w:autoSpaceDE/>
      <w:autoSpaceDN/>
    </w:pPr>
  </w:style>
  <w:style w:type="character" w:customStyle="1" w:styleId="a8">
    <w:name w:val="Текст примечания Знак"/>
    <w:basedOn w:val="a1"/>
    <w:link w:val="a7"/>
    <w:rsid w:val="008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32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329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link w:val="ac"/>
    <w:uiPriority w:val="34"/>
    <w:qFormat/>
    <w:rsid w:val="0083290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832901"/>
    <w:rPr>
      <w:rFonts w:ascii="Calibri" w:eastAsia="Calibri" w:hAnsi="Calibri" w:cs="Times New Roman"/>
    </w:rPr>
  </w:style>
  <w:style w:type="character" w:customStyle="1" w:styleId="BodyTextIndentChar">
    <w:name w:val="Body Text Indent Char"/>
    <w:rsid w:val="00156C9A"/>
    <w:rPr>
      <w:rFonts w:ascii="Batang" w:eastAsia="Batang" w:hAnsi="Batang"/>
      <w:noProof w:val="0"/>
      <w:sz w:val="24"/>
    </w:rPr>
  </w:style>
  <w:style w:type="paragraph" w:customStyle="1" w:styleId="1">
    <w:name w:val="Раздел 1"/>
    <w:basedOn w:val="ab"/>
    <w:link w:val="11"/>
    <w:qFormat/>
    <w:rsid w:val="000C2E7E"/>
    <w:pPr>
      <w:keepNext/>
      <w:numPr>
        <w:ilvl w:val="1"/>
        <w:numId w:val="5"/>
      </w:numPr>
      <w:spacing w:before="240" w:after="0" w:line="240" w:lineRule="auto"/>
      <w:jc w:val="both"/>
    </w:pPr>
    <w:rPr>
      <w:b/>
    </w:rPr>
  </w:style>
  <w:style w:type="paragraph" w:customStyle="1" w:styleId="a">
    <w:name w:val="Часть"/>
    <w:basedOn w:val="a0"/>
    <w:qFormat/>
    <w:rsid w:val="000C2E7E"/>
    <w:pPr>
      <w:keepNext/>
      <w:widowControl w:val="0"/>
      <w:numPr>
        <w:numId w:val="5"/>
      </w:numPr>
      <w:autoSpaceDE/>
      <w:autoSpaceDN/>
      <w:spacing w:before="360" w:after="120"/>
      <w:jc w:val="center"/>
    </w:pPr>
    <w:rPr>
      <w:rFonts w:eastAsia="Calibri"/>
      <w:b/>
      <w:bCs/>
      <w:sz w:val="24"/>
      <w:szCs w:val="22"/>
      <w:lang w:eastAsia="en-US"/>
    </w:rPr>
  </w:style>
  <w:style w:type="paragraph" w:customStyle="1" w:styleId="2">
    <w:name w:val="Раздел 2"/>
    <w:basedOn w:val="1"/>
    <w:qFormat/>
    <w:rsid w:val="000C2E7E"/>
    <w:pPr>
      <w:numPr>
        <w:ilvl w:val="2"/>
      </w:numPr>
      <w:tabs>
        <w:tab w:val="num" w:pos="360"/>
      </w:tabs>
      <w:spacing w:before="120"/>
      <w:ind w:left="1224" w:hanging="720"/>
    </w:pPr>
  </w:style>
  <w:style w:type="paragraph" w:customStyle="1" w:styleId="3">
    <w:name w:val="Раздел 3"/>
    <w:basedOn w:val="2"/>
    <w:qFormat/>
    <w:rsid w:val="000C2E7E"/>
    <w:pPr>
      <w:numPr>
        <w:ilvl w:val="3"/>
      </w:numPr>
      <w:tabs>
        <w:tab w:val="num" w:pos="360"/>
      </w:tabs>
      <w:ind w:left="1728" w:hanging="648"/>
    </w:pPr>
  </w:style>
  <w:style w:type="character" w:customStyle="1" w:styleId="11">
    <w:name w:val="Раздел 1 Знак1"/>
    <w:basedOn w:val="ac"/>
    <w:link w:val="1"/>
    <w:rsid w:val="000C2E7E"/>
    <w:rPr>
      <w:rFonts w:ascii="Calibri" w:eastAsia="Calibri" w:hAnsi="Calibri" w:cs="Times New Roman"/>
      <w:b/>
    </w:rPr>
  </w:style>
  <w:style w:type="paragraph" w:customStyle="1" w:styleId="4">
    <w:name w:val="Раздел 4"/>
    <w:basedOn w:val="3"/>
    <w:qFormat/>
    <w:rsid w:val="000C2E7E"/>
    <w:pPr>
      <w:numPr>
        <w:ilvl w:val="4"/>
      </w:numPr>
      <w:tabs>
        <w:tab w:val="num" w:pos="360"/>
      </w:tabs>
      <w:ind w:left="2232" w:hanging="792"/>
    </w:pPr>
    <w:rPr>
      <w:i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F64968"/>
    <w:pPr>
      <w:autoSpaceDE w:val="0"/>
      <w:autoSpaceDN w:val="0"/>
    </w:pPr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F649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A3101E"/>
    <w:rPr>
      <w:color w:val="0000FF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137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37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137F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37F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s://www.spratings.com/documents/20184/774196/2016+Annual+Global+Corporate+Default+Study+And+Rating+Transitions.pdf/2ddcf9dd-3b82-4151-9dab-8e3fc70a7035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microsoft.com/office/2011/relationships/people" Target="people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BEA8-CB36-4EA0-8E9C-C7D2B417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akinshina</dc:creator>
  <cp:lastModifiedBy>gantseva</cp:lastModifiedBy>
  <cp:revision>3</cp:revision>
  <dcterms:created xsi:type="dcterms:W3CDTF">2019-09-19T11:55:00Z</dcterms:created>
  <dcterms:modified xsi:type="dcterms:W3CDTF">2019-09-19T11:56:00Z</dcterms:modified>
</cp:coreProperties>
</file>