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72" w:rsidRPr="00B5399E" w:rsidRDefault="00550518" w:rsidP="00081CD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0B" w:rsidRPr="00B5399E" w:rsidRDefault="003E070B" w:rsidP="00081CDF">
      <w:pPr>
        <w:spacing w:after="0" w:line="240" w:lineRule="auto"/>
        <w:ind w:left="368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E">
        <w:rPr>
          <w:rFonts w:ascii="Times New Roman" w:hAnsi="Times New Roman" w:cs="Times New Roman"/>
          <w:sz w:val="28"/>
          <w:szCs w:val="28"/>
        </w:rPr>
        <w:t>Утвержден</w:t>
      </w:r>
    </w:p>
    <w:p w:rsidR="003E070B" w:rsidRPr="00B5399E" w:rsidRDefault="007729F2" w:rsidP="00081CDF">
      <w:pPr>
        <w:spacing w:after="0" w:line="240" w:lineRule="auto"/>
        <w:ind w:left="368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070B" w:rsidRPr="00B5399E">
        <w:rPr>
          <w:rFonts w:ascii="Times New Roman" w:hAnsi="Times New Roman" w:cs="Times New Roman"/>
          <w:sz w:val="28"/>
          <w:szCs w:val="28"/>
        </w:rPr>
        <w:t>ешением Совета директоров НАУФОР</w:t>
      </w:r>
    </w:p>
    <w:p w:rsidR="003E070B" w:rsidRPr="00B5399E" w:rsidRDefault="007729F2" w:rsidP="00081CDF">
      <w:pPr>
        <w:spacing w:after="0" w:line="240" w:lineRule="auto"/>
        <w:ind w:left="368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E070B" w:rsidRPr="00B53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2023</w:t>
      </w:r>
      <w:r w:rsidR="003E070B" w:rsidRPr="00B539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070B" w:rsidRPr="00B5399E" w:rsidRDefault="003E070B" w:rsidP="00081C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70B" w:rsidRDefault="003E070B" w:rsidP="00081C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1B3" w:rsidRPr="00B5399E" w:rsidRDefault="004301B3" w:rsidP="00081C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70B" w:rsidRPr="00B5399E" w:rsidRDefault="003E070B" w:rsidP="009850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99E">
        <w:rPr>
          <w:rFonts w:ascii="Times New Roman" w:hAnsi="Times New Roman" w:cs="Times New Roman"/>
          <w:b/>
          <w:sz w:val="32"/>
          <w:szCs w:val="32"/>
        </w:rPr>
        <w:t>Внутренний стандарт</w:t>
      </w:r>
    </w:p>
    <w:p w:rsidR="003C7BFF" w:rsidRPr="00B5399E" w:rsidRDefault="00F65D09" w:rsidP="009850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9E">
        <w:rPr>
          <w:rFonts w:ascii="Times New Roman" w:hAnsi="Times New Roman" w:cs="Times New Roman"/>
          <w:b/>
          <w:sz w:val="28"/>
          <w:szCs w:val="28"/>
        </w:rPr>
        <w:t>П</w:t>
      </w:r>
      <w:r w:rsidR="003C7BFF" w:rsidRPr="00B5399E">
        <w:rPr>
          <w:rFonts w:ascii="Times New Roman" w:hAnsi="Times New Roman" w:cs="Times New Roman"/>
          <w:b/>
          <w:sz w:val="28"/>
          <w:szCs w:val="28"/>
        </w:rPr>
        <w:t>ринцип</w:t>
      </w:r>
      <w:r w:rsidRPr="00B5399E">
        <w:rPr>
          <w:rFonts w:ascii="Times New Roman" w:hAnsi="Times New Roman" w:cs="Times New Roman"/>
          <w:b/>
          <w:sz w:val="28"/>
          <w:szCs w:val="28"/>
        </w:rPr>
        <w:t>ы</w:t>
      </w:r>
      <w:r w:rsidR="003C7BFF" w:rsidRPr="00B5399E">
        <w:rPr>
          <w:rFonts w:ascii="Times New Roman" w:hAnsi="Times New Roman" w:cs="Times New Roman"/>
          <w:b/>
          <w:sz w:val="28"/>
          <w:szCs w:val="28"/>
        </w:rPr>
        <w:t xml:space="preserve"> использования индикаторов </w:t>
      </w:r>
      <w:r w:rsidR="0005466C" w:rsidRPr="00B5399E">
        <w:rPr>
          <w:rFonts w:ascii="Times New Roman" w:hAnsi="Times New Roman" w:cs="Times New Roman"/>
          <w:b/>
          <w:sz w:val="28"/>
          <w:szCs w:val="28"/>
        </w:rPr>
        <w:br/>
      </w:r>
      <w:r w:rsidR="00D03EE7" w:rsidRPr="00B5399E">
        <w:rPr>
          <w:rFonts w:ascii="Times New Roman" w:hAnsi="Times New Roman" w:cs="Times New Roman"/>
          <w:b/>
          <w:sz w:val="28"/>
          <w:szCs w:val="28"/>
        </w:rPr>
        <w:t>в основе</w:t>
      </w:r>
      <w:r w:rsidR="003C7BFF" w:rsidRPr="00B53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9D7" w:rsidRPr="00B5399E">
        <w:rPr>
          <w:rFonts w:ascii="Times New Roman" w:hAnsi="Times New Roman" w:cs="Times New Roman"/>
          <w:b/>
          <w:sz w:val="28"/>
          <w:szCs w:val="28"/>
        </w:rPr>
        <w:t>паевых инвестиционных фондов</w:t>
      </w:r>
    </w:p>
    <w:p w:rsidR="003E070B" w:rsidRDefault="003E070B" w:rsidP="00081C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61B0" w:rsidRDefault="00BB61B0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1B0">
        <w:rPr>
          <w:rFonts w:ascii="Times New Roman" w:hAnsi="Times New Roman" w:cs="Times New Roman"/>
          <w:sz w:val="28"/>
          <w:szCs w:val="28"/>
        </w:rPr>
        <w:t xml:space="preserve">Настоящий Внутренний стандарт «Принципы использования индикаторов в основе паевых инвестиционных фондов» (далее – Внутренний стандарт) разработан в соответствии с частью 2 статьи 6 Федерального закона от 13 июля 2015 года № 223-ФЗ «О саморегулируемых организациях в сфере финансового рынка» в целях развития финансового рынка Российской Федерации, защиты прав и интересов потребителей финансовых услуг. Внутренний стандарт </w:t>
      </w:r>
      <w:r w:rsidRPr="00B5399E">
        <w:rPr>
          <w:rFonts w:ascii="Times New Roman" w:hAnsi="Times New Roman" w:cs="Times New Roman"/>
          <w:sz w:val="28"/>
          <w:szCs w:val="28"/>
        </w:rPr>
        <w:t xml:space="preserve">разработан на основе существующих международных практик и призван в условиях отсутствия нормативных требований в отношении индикаторов (их администраторов), используемых управляющими компаниями инвестиционных фондов, паевых инвестиционных фондов и негосударственных пенсионных </w:t>
      </w:r>
      <w:r>
        <w:rPr>
          <w:rFonts w:ascii="Times New Roman" w:hAnsi="Times New Roman" w:cs="Times New Roman"/>
          <w:sz w:val="28"/>
          <w:szCs w:val="28"/>
        </w:rPr>
        <w:t>фондов</w:t>
      </w:r>
      <w:r w:rsidR="00482E1C">
        <w:rPr>
          <w:rFonts w:ascii="Times New Roman" w:hAnsi="Times New Roman" w:cs="Times New Roman"/>
          <w:sz w:val="28"/>
          <w:szCs w:val="28"/>
        </w:rPr>
        <w:t xml:space="preserve"> (далее – управляющие компании)</w:t>
      </w:r>
      <w:r w:rsidRPr="00B5399E">
        <w:rPr>
          <w:rFonts w:ascii="Times New Roman" w:hAnsi="Times New Roman" w:cs="Times New Roman"/>
          <w:sz w:val="28"/>
          <w:szCs w:val="28"/>
        </w:rPr>
        <w:t xml:space="preserve">, обеспечить прозрачность и надежность </w:t>
      </w:r>
      <w:r>
        <w:rPr>
          <w:rFonts w:ascii="Times New Roman" w:hAnsi="Times New Roman" w:cs="Times New Roman"/>
          <w:sz w:val="28"/>
          <w:szCs w:val="28"/>
        </w:rPr>
        <w:t>паевых инвестиционных фондов</w:t>
      </w:r>
      <w:r w:rsidR="00482E1C">
        <w:rPr>
          <w:rFonts w:ascii="Times New Roman" w:hAnsi="Times New Roman" w:cs="Times New Roman"/>
          <w:sz w:val="28"/>
          <w:szCs w:val="28"/>
        </w:rPr>
        <w:t xml:space="preserve"> </w:t>
      </w:r>
      <w:r w:rsidR="00482E1C" w:rsidRPr="00B5399E">
        <w:rPr>
          <w:rFonts w:ascii="Times New Roman" w:hAnsi="Times New Roman" w:cs="Times New Roman"/>
          <w:sz w:val="28"/>
          <w:szCs w:val="28"/>
        </w:rPr>
        <w:t>(далее – ПИФ)</w:t>
      </w:r>
      <w:r w:rsidRPr="00B5399E">
        <w:rPr>
          <w:rFonts w:ascii="Times New Roman" w:hAnsi="Times New Roman" w:cs="Times New Roman"/>
          <w:sz w:val="28"/>
          <w:szCs w:val="28"/>
        </w:rPr>
        <w:t>, ориентированных на индикатор.</w:t>
      </w:r>
    </w:p>
    <w:p w:rsidR="007729F2" w:rsidRPr="00B5399E" w:rsidRDefault="007729F2" w:rsidP="00BB61B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7A3D75" w:rsidRPr="00B5399E" w:rsidRDefault="007A3D75" w:rsidP="0050414D">
      <w:pPr>
        <w:spacing w:before="240" w:after="24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399E">
        <w:rPr>
          <w:rFonts w:ascii="Times New Roman" w:hAnsi="Times New Roman" w:cs="Times New Roman"/>
          <w:b/>
          <w:sz w:val="28"/>
          <w:szCs w:val="28"/>
        </w:rPr>
        <w:t>1. О</w:t>
      </w:r>
      <w:r w:rsidR="00BB61B0" w:rsidRPr="00B5399E">
        <w:rPr>
          <w:rFonts w:ascii="Times New Roman" w:hAnsi="Times New Roman" w:cs="Times New Roman"/>
          <w:b/>
          <w:sz w:val="28"/>
          <w:szCs w:val="28"/>
        </w:rPr>
        <w:t>бщие</w:t>
      </w:r>
      <w:r w:rsidRPr="00B53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1B0" w:rsidRPr="00B5399E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89304E" w:rsidRPr="00B5399E" w:rsidRDefault="003E070B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E">
        <w:rPr>
          <w:rFonts w:ascii="Times New Roman" w:hAnsi="Times New Roman" w:cs="Times New Roman"/>
          <w:sz w:val="28"/>
          <w:szCs w:val="28"/>
        </w:rPr>
        <w:t xml:space="preserve">Настоящий Внутренний стандарт устанавливает </w:t>
      </w:r>
      <w:r w:rsidRPr="00D603F2">
        <w:rPr>
          <w:rFonts w:ascii="Times New Roman" w:hAnsi="Times New Roman" w:cs="Times New Roman"/>
          <w:sz w:val="28"/>
          <w:szCs w:val="28"/>
        </w:rPr>
        <w:t>требования</w:t>
      </w:r>
      <w:r w:rsidR="00D51414" w:rsidRPr="00D603F2">
        <w:rPr>
          <w:rFonts w:ascii="Times New Roman" w:hAnsi="Times New Roman" w:cs="Times New Roman"/>
          <w:sz w:val="28"/>
          <w:szCs w:val="28"/>
        </w:rPr>
        <w:t xml:space="preserve"> к соблюдению</w:t>
      </w:r>
      <w:r w:rsidRPr="00D603F2">
        <w:rPr>
          <w:rFonts w:ascii="Times New Roman" w:hAnsi="Times New Roman" w:cs="Times New Roman"/>
          <w:sz w:val="28"/>
          <w:szCs w:val="28"/>
        </w:rPr>
        <w:t xml:space="preserve"> управляющим</w:t>
      </w:r>
      <w:r w:rsidR="00D51414" w:rsidRPr="00D603F2">
        <w:rPr>
          <w:rFonts w:ascii="Times New Roman" w:hAnsi="Times New Roman" w:cs="Times New Roman"/>
          <w:sz w:val="28"/>
          <w:szCs w:val="28"/>
        </w:rPr>
        <w:t>и</w:t>
      </w:r>
      <w:r w:rsidRPr="00D603F2">
        <w:rPr>
          <w:rFonts w:ascii="Times New Roman" w:hAnsi="Times New Roman" w:cs="Times New Roman"/>
          <w:sz w:val="28"/>
          <w:szCs w:val="28"/>
        </w:rPr>
        <w:t xml:space="preserve"> компаниям</w:t>
      </w:r>
      <w:r w:rsidR="00D51414" w:rsidRPr="00D603F2">
        <w:rPr>
          <w:rFonts w:ascii="Times New Roman" w:hAnsi="Times New Roman" w:cs="Times New Roman"/>
          <w:sz w:val="28"/>
          <w:szCs w:val="28"/>
        </w:rPr>
        <w:t>и</w:t>
      </w:r>
      <w:r w:rsidR="00482E1C">
        <w:rPr>
          <w:rFonts w:ascii="Times New Roman" w:hAnsi="Times New Roman" w:cs="Times New Roman"/>
          <w:sz w:val="28"/>
          <w:szCs w:val="28"/>
        </w:rPr>
        <w:t xml:space="preserve"> –</w:t>
      </w:r>
      <w:r w:rsidR="00482E1C" w:rsidRPr="00B5399E">
        <w:rPr>
          <w:rFonts w:ascii="Times New Roman" w:hAnsi="Times New Roman" w:cs="Times New Roman"/>
          <w:sz w:val="28"/>
          <w:szCs w:val="28"/>
        </w:rPr>
        <w:t xml:space="preserve"> </w:t>
      </w:r>
      <w:r w:rsidRPr="00B5399E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3F20DA" w:rsidRPr="00B5399E">
        <w:rPr>
          <w:rFonts w:ascii="Times New Roman" w:hAnsi="Times New Roman" w:cs="Times New Roman"/>
          <w:sz w:val="28"/>
          <w:szCs w:val="28"/>
        </w:rPr>
        <w:t>НАУФОР</w:t>
      </w:r>
      <w:r w:rsidR="00482E1C">
        <w:rPr>
          <w:rFonts w:ascii="Times New Roman" w:hAnsi="Times New Roman" w:cs="Times New Roman"/>
          <w:sz w:val="28"/>
          <w:szCs w:val="28"/>
        </w:rPr>
        <w:t>,</w:t>
      </w:r>
      <w:r w:rsidR="00A06A43">
        <w:rPr>
          <w:rFonts w:ascii="Times New Roman" w:hAnsi="Times New Roman" w:cs="Times New Roman"/>
          <w:sz w:val="28"/>
          <w:szCs w:val="28"/>
        </w:rPr>
        <w:t xml:space="preserve"> </w:t>
      </w:r>
      <w:r w:rsidR="00DD093E" w:rsidRPr="00B5399E">
        <w:rPr>
          <w:rFonts w:ascii="Times New Roman" w:hAnsi="Times New Roman" w:cs="Times New Roman"/>
          <w:sz w:val="28"/>
          <w:szCs w:val="28"/>
        </w:rPr>
        <w:t xml:space="preserve">являющимися как </w:t>
      </w:r>
      <w:r w:rsidR="00347FE4" w:rsidRPr="00B5399E">
        <w:rPr>
          <w:rFonts w:ascii="Times New Roman" w:hAnsi="Times New Roman" w:cs="Times New Roman"/>
          <w:sz w:val="28"/>
          <w:szCs w:val="28"/>
        </w:rPr>
        <w:t xml:space="preserve">администраторами, так и пользователями индикаторов </w:t>
      </w:r>
      <w:r w:rsidR="00482E1C">
        <w:rPr>
          <w:rFonts w:ascii="Times New Roman" w:hAnsi="Times New Roman" w:cs="Times New Roman"/>
          <w:sz w:val="28"/>
          <w:szCs w:val="28"/>
        </w:rPr>
        <w:t>(</w:t>
      </w:r>
      <w:r w:rsidR="00347FE4" w:rsidRPr="00B5399E">
        <w:rPr>
          <w:rFonts w:ascii="Times New Roman" w:hAnsi="Times New Roman" w:cs="Times New Roman"/>
          <w:sz w:val="28"/>
          <w:szCs w:val="28"/>
        </w:rPr>
        <w:t>на основании заключенных с администраторами данных индикаторов</w:t>
      </w:r>
      <w:r w:rsidR="00482E1C">
        <w:rPr>
          <w:rFonts w:ascii="Times New Roman" w:hAnsi="Times New Roman" w:cs="Times New Roman"/>
          <w:sz w:val="28"/>
          <w:szCs w:val="28"/>
        </w:rPr>
        <w:t xml:space="preserve"> </w:t>
      </w:r>
      <w:r w:rsidR="00482E1C" w:rsidRPr="00B5399E">
        <w:rPr>
          <w:rFonts w:ascii="Times New Roman" w:hAnsi="Times New Roman" w:cs="Times New Roman"/>
          <w:sz w:val="28"/>
          <w:szCs w:val="28"/>
        </w:rPr>
        <w:t>договоров</w:t>
      </w:r>
      <w:r w:rsidR="00DD093E" w:rsidRPr="00B5399E">
        <w:rPr>
          <w:rFonts w:ascii="Times New Roman" w:hAnsi="Times New Roman" w:cs="Times New Roman"/>
          <w:sz w:val="28"/>
          <w:szCs w:val="28"/>
        </w:rPr>
        <w:t>)</w:t>
      </w:r>
      <w:r w:rsidRPr="00D603F2">
        <w:rPr>
          <w:rFonts w:ascii="Times New Roman" w:hAnsi="Times New Roman" w:cs="Times New Roman"/>
          <w:sz w:val="28"/>
          <w:szCs w:val="28"/>
        </w:rPr>
        <w:t>,</w:t>
      </w:r>
      <w:r w:rsidR="0089304E" w:rsidRPr="00B5399E">
        <w:rPr>
          <w:rFonts w:ascii="Times New Roman" w:hAnsi="Times New Roman" w:cs="Times New Roman"/>
          <w:sz w:val="28"/>
          <w:szCs w:val="28"/>
        </w:rPr>
        <w:t xml:space="preserve"> </w:t>
      </w:r>
      <w:r w:rsidR="0089304E" w:rsidRPr="00D603F2">
        <w:rPr>
          <w:rFonts w:ascii="Times New Roman" w:hAnsi="Times New Roman" w:cs="Times New Roman"/>
          <w:sz w:val="28"/>
          <w:szCs w:val="28"/>
        </w:rPr>
        <w:t xml:space="preserve">основных принципов </w:t>
      </w:r>
      <w:r w:rsidR="007379D7" w:rsidRPr="00D603F2">
        <w:rPr>
          <w:rFonts w:ascii="Times New Roman" w:hAnsi="Times New Roman" w:cs="Times New Roman"/>
          <w:sz w:val="28"/>
          <w:szCs w:val="28"/>
        </w:rPr>
        <w:t xml:space="preserve">использования индикаторов </w:t>
      </w:r>
      <w:r w:rsidR="00D03EE7" w:rsidRPr="00D603F2">
        <w:rPr>
          <w:rFonts w:ascii="Times New Roman" w:hAnsi="Times New Roman" w:cs="Times New Roman"/>
          <w:sz w:val="28"/>
          <w:szCs w:val="28"/>
        </w:rPr>
        <w:t>в основе</w:t>
      </w:r>
      <w:r w:rsidR="007379D7" w:rsidRPr="00D603F2">
        <w:rPr>
          <w:rFonts w:ascii="Times New Roman" w:hAnsi="Times New Roman" w:cs="Times New Roman"/>
          <w:sz w:val="28"/>
          <w:szCs w:val="28"/>
        </w:rPr>
        <w:t xml:space="preserve"> </w:t>
      </w:r>
      <w:r w:rsidR="00D51414" w:rsidRPr="00D603F2">
        <w:rPr>
          <w:rFonts w:ascii="Times New Roman" w:hAnsi="Times New Roman" w:cs="Times New Roman"/>
          <w:sz w:val="28"/>
          <w:szCs w:val="28"/>
        </w:rPr>
        <w:lastRenderedPageBreak/>
        <w:t>ПИФ</w:t>
      </w:r>
      <w:r w:rsidR="00D603F2" w:rsidRPr="00B5399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B5399E">
        <w:rPr>
          <w:rFonts w:ascii="Times New Roman" w:hAnsi="Times New Roman" w:cs="Times New Roman"/>
          <w:sz w:val="28"/>
          <w:szCs w:val="28"/>
        </w:rPr>
        <w:t xml:space="preserve">, инвестиционные паи которых не предназначены исключительно для квалифицированных инвесторов, а правила доверительного управления </w:t>
      </w:r>
      <w:r w:rsidR="004014B5">
        <w:rPr>
          <w:rFonts w:ascii="Times New Roman" w:hAnsi="Times New Roman" w:cs="Times New Roman"/>
          <w:sz w:val="28"/>
          <w:szCs w:val="28"/>
        </w:rPr>
        <w:t>и/или изменения</w:t>
      </w:r>
      <w:r w:rsidRPr="00B5399E">
        <w:rPr>
          <w:rFonts w:ascii="Times New Roman" w:hAnsi="Times New Roman" w:cs="Times New Roman"/>
          <w:sz w:val="28"/>
          <w:szCs w:val="28"/>
        </w:rPr>
        <w:t xml:space="preserve"> </w:t>
      </w:r>
      <w:r w:rsidR="004014B5">
        <w:rPr>
          <w:rFonts w:ascii="Times New Roman" w:hAnsi="Times New Roman" w:cs="Times New Roman"/>
          <w:sz w:val="28"/>
          <w:szCs w:val="28"/>
        </w:rPr>
        <w:t xml:space="preserve">и дополнения в них, устанавливающие использование индикатора, </w:t>
      </w:r>
      <w:r w:rsidRPr="00B5399E">
        <w:rPr>
          <w:rFonts w:ascii="Times New Roman" w:hAnsi="Times New Roman" w:cs="Times New Roman"/>
          <w:sz w:val="28"/>
          <w:szCs w:val="28"/>
        </w:rPr>
        <w:t xml:space="preserve">зарегистрированы после даты вступления в силу настоящего </w:t>
      </w:r>
      <w:r w:rsidR="001414A3" w:rsidRPr="00B5399E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772035" w:rsidRPr="00B5399E">
        <w:rPr>
          <w:rFonts w:ascii="Times New Roman" w:hAnsi="Times New Roman" w:cs="Times New Roman"/>
          <w:sz w:val="28"/>
          <w:szCs w:val="28"/>
        </w:rPr>
        <w:t>стандарта</w:t>
      </w:r>
      <w:r w:rsidR="00711B81" w:rsidRPr="00B5399E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89304E" w:rsidRPr="00B53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70B" w:rsidRPr="00B5399E" w:rsidRDefault="003E070B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E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414A3" w:rsidRPr="00B5399E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B5399E">
        <w:rPr>
          <w:rFonts w:ascii="Times New Roman" w:hAnsi="Times New Roman" w:cs="Times New Roman"/>
          <w:sz w:val="28"/>
          <w:szCs w:val="28"/>
        </w:rPr>
        <w:t xml:space="preserve">стандарта не </w:t>
      </w:r>
      <w:r w:rsidR="00EA4BAC" w:rsidRPr="00B5399E">
        <w:rPr>
          <w:rFonts w:ascii="Times New Roman" w:hAnsi="Times New Roman" w:cs="Times New Roman"/>
          <w:sz w:val="28"/>
          <w:szCs w:val="28"/>
        </w:rPr>
        <w:t xml:space="preserve">распространяются на деятельность управляющей компании при </w:t>
      </w:r>
      <w:r w:rsidR="00B62323" w:rsidRPr="00B5399E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Pr="00B5399E">
        <w:rPr>
          <w:rFonts w:ascii="Times New Roman" w:hAnsi="Times New Roman" w:cs="Times New Roman"/>
          <w:sz w:val="28"/>
          <w:szCs w:val="28"/>
        </w:rPr>
        <w:t>индикатор</w:t>
      </w:r>
      <w:r w:rsidR="00726349" w:rsidRPr="00B5399E">
        <w:rPr>
          <w:rFonts w:ascii="Times New Roman" w:hAnsi="Times New Roman" w:cs="Times New Roman"/>
          <w:sz w:val="28"/>
          <w:szCs w:val="28"/>
        </w:rPr>
        <w:t>ов</w:t>
      </w:r>
      <w:r w:rsidRPr="00B5399E">
        <w:rPr>
          <w:rFonts w:ascii="Times New Roman" w:hAnsi="Times New Roman" w:cs="Times New Roman"/>
          <w:sz w:val="28"/>
          <w:szCs w:val="28"/>
        </w:rPr>
        <w:t>, администрируемы</w:t>
      </w:r>
      <w:r w:rsidR="00726349" w:rsidRPr="00B5399E">
        <w:rPr>
          <w:rFonts w:ascii="Times New Roman" w:hAnsi="Times New Roman" w:cs="Times New Roman"/>
          <w:sz w:val="28"/>
          <w:szCs w:val="28"/>
        </w:rPr>
        <w:t>х</w:t>
      </w:r>
      <w:r w:rsidRPr="00B5399E">
        <w:rPr>
          <w:rFonts w:ascii="Times New Roman" w:hAnsi="Times New Roman" w:cs="Times New Roman"/>
          <w:sz w:val="28"/>
          <w:szCs w:val="28"/>
        </w:rPr>
        <w:t xml:space="preserve"> Банком России, индикатор</w:t>
      </w:r>
      <w:r w:rsidR="00726349" w:rsidRPr="00B5399E">
        <w:rPr>
          <w:rFonts w:ascii="Times New Roman" w:hAnsi="Times New Roman" w:cs="Times New Roman"/>
          <w:sz w:val="28"/>
          <w:szCs w:val="28"/>
        </w:rPr>
        <w:t>ов</w:t>
      </w:r>
      <w:r w:rsidRPr="00B5399E">
        <w:rPr>
          <w:rFonts w:ascii="Times New Roman" w:hAnsi="Times New Roman" w:cs="Times New Roman"/>
          <w:sz w:val="28"/>
          <w:szCs w:val="28"/>
        </w:rPr>
        <w:t>, признанны</w:t>
      </w:r>
      <w:r w:rsidR="00726349" w:rsidRPr="00B5399E">
        <w:rPr>
          <w:rFonts w:ascii="Times New Roman" w:hAnsi="Times New Roman" w:cs="Times New Roman"/>
          <w:sz w:val="28"/>
          <w:szCs w:val="28"/>
        </w:rPr>
        <w:t>х</w:t>
      </w:r>
      <w:r w:rsidRPr="00B5399E">
        <w:rPr>
          <w:rFonts w:ascii="Times New Roman" w:hAnsi="Times New Roman" w:cs="Times New Roman"/>
          <w:sz w:val="28"/>
          <w:szCs w:val="28"/>
        </w:rPr>
        <w:t xml:space="preserve"> иностранными центральными</w:t>
      </w:r>
      <w:r w:rsidR="00726349" w:rsidRPr="00B5399E">
        <w:rPr>
          <w:rFonts w:ascii="Times New Roman" w:hAnsi="Times New Roman" w:cs="Times New Roman"/>
          <w:sz w:val="28"/>
          <w:szCs w:val="28"/>
        </w:rPr>
        <w:t xml:space="preserve"> банками, индикаторов</w:t>
      </w:r>
      <w:r w:rsidRPr="00B5399E">
        <w:rPr>
          <w:rFonts w:ascii="Times New Roman" w:hAnsi="Times New Roman" w:cs="Times New Roman"/>
          <w:sz w:val="28"/>
          <w:szCs w:val="28"/>
        </w:rPr>
        <w:t>, аккредитованны</w:t>
      </w:r>
      <w:r w:rsidR="00726349" w:rsidRPr="00B5399E">
        <w:rPr>
          <w:rFonts w:ascii="Times New Roman" w:hAnsi="Times New Roman" w:cs="Times New Roman"/>
          <w:sz w:val="28"/>
          <w:szCs w:val="28"/>
        </w:rPr>
        <w:t>х</w:t>
      </w:r>
      <w:r w:rsidRPr="00B5399E">
        <w:rPr>
          <w:rFonts w:ascii="Times New Roman" w:hAnsi="Times New Roman" w:cs="Times New Roman"/>
          <w:sz w:val="28"/>
          <w:szCs w:val="28"/>
        </w:rPr>
        <w:t xml:space="preserve"> Банком России или иностранными регуляторами финансового рынка, индикатор</w:t>
      </w:r>
      <w:r w:rsidR="00726349" w:rsidRPr="00B5399E">
        <w:rPr>
          <w:rFonts w:ascii="Times New Roman" w:hAnsi="Times New Roman" w:cs="Times New Roman"/>
          <w:sz w:val="28"/>
          <w:szCs w:val="28"/>
        </w:rPr>
        <w:t>ов</w:t>
      </w:r>
      <w:r w:rsidRPr="00B5399E">
        <w:rPr>
          <w:rFonts w:ascii="Times New Roman" w:hAnsi="Times New Roman" w:cs="Times New Roman"/>
          <w:sz w:val="28"/>
          <w:szCs w:val="28"/>
        </w:rPr>
        <w:t>, рассчитываемы</w:t>
      </w:r>
      <w:r w:rsidR="00726349" w:rsidRPr="00B5399E">
        <w:rPr>
          <w:rFonts w:ascii="Times New Roman" w:hAnsi="Times New Roman" w:cs="Times New Roman"/>
          <w:sz w:val="28"/>
          <w:szCs w:val="28"/>
        </w:rPr>
        <w:t>х</w:t>
      </w:r>
      <w:r w:rsidRPr="00B5399E">
        <w:rPr>
          <w:rFonts w:ascii="Times New Roman" w:hAnsi="Times New Roman" w:cs="Times New Roman"/>
          <w:sz w:val="28"/>
          <w:szCs w:val="28"/>
        </w:rPr>
        <w:t xml:space="preserve"> российскими </w:t>
      </w:r>
      <w:r w:rsidR="005C6964" w:rsidRPr="00B5399E">
        <w:rPr>
          <w:rFonts w:ascii="Times New Roman" w:hAnsi="Times New Roman" w:cs="Times New Roman"/>
          <w:sz w:val="28"/>
          <w:szCs w:val="28"/>
        </w:rPr>
        <w:t>и</w:t>
      </w:r>
      <w:r w:rsidR="00A06A43">
        <w:rPr>
          <w:rFonts w:ascii="Times New Roman" w:hAnsi="Times New Roman" w:cs="Times New Roman"/>
          <w:sz w:val="28"/>
          <w:szCs w:val="28"/>
        </w:rPr>
        <w:t>ли</w:t>
      </w:r>
      <w:r w:rsidR="005C6964" w:rsidRPr="00B5399E">
        <w:rPr>
          <w:rFonts w:ascii="Times New Roman" w:hAnsi="Times New Roman" w:cs="Times New Roman"/>
          <w:sz w:val="28"/>
          <w:szCs w:val="28"/>
        </w:rPr>
        <w:t xml:space="preserve"> иностранными </w:t>
      </w:r>
      <w:r w:rsidRPr="00B5399E">
        <w:rPr>
          <w:rFonts w:ascii="Times New Roman" w:hAnsi="Times New Roman" w:cs="Times New Roman"/>
          <w:sz w:val="28"/>
          <w:szCs w:val="28"/>
        </w:rPr>
        <w:t>организаторами торгов,</w:t>
      </w:r>
      <w:r w:rsidR="004014B5">
        <w:rPr>
          <w:rFonts w:ascii="Times New Roman" w:hAnsi="Times New Roman" w:cs="Times New Roman"/>
          <w:sz w:val="28"/>
          <w:szCs w:val="28"/>
        </w:rPr>
        <w:t xml:space="preserve"> показателей инфляции, </w:t>
      </w:r>
      <w:r w:rsidRPr="00B5399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726349" w:rsidRPr="00B5399E">
        <w:rPr>
          <w:rFonts w:ascii="Times New Roman" w:hAnsi="Times New Roman" w:cs="Times New Roman"/>
          <w:sz w:val="28"/>
          <w:szCs w:val="28"/>
        </w:rPr>
        <w:t xml:space="preserve"> индикаторов</w:t>
      </w:r>
      <w:r w:rsidR="009A11CF" w:rsidRPr="00B5399E">
        <w:rPr>
          <w:rFonts w:ascii="Times New Roman" w:hAnsi="Times New Roman" w:cs="Times New Roman"/>
          <w:sz w:val="28"/>
          <w:szCs w:val="28"/>
        </w:rPr>
        <w:t xml:space="preserve"> в виде фондовых</w:t>
      </w:r>
      <w:r w:rsidRPr="00B5399E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9A11CF" w:rsidRPr="00B5399E">
        <w:rPr>
          <w:rFonts w:ascii="Times New Roman" w:hAnsi="Times New Roman" w:cs="Times New Roman"/>
          <w:sz w:val="28"/>
          <w:szCs w:val="28"/>
        </w:rPr>
        <w:t>ов</w:t>
      </w:r>
      <w:r w:rsidRPr="00B5399E">
        <w:rPr>
          <w:rFonts w:ascii="Times New Roman" w:hAnsi="Times New Roman" w:cs="Times New Roman"/>
          <w:sz w:val="28"/>
          <w:szCs w:val="28"/>
        </w:rPr>
        <w:t>, перечисленны</w:t>
      </w:r>
      <w:r w:rsidR="009A11CF" w:rsidRPr="00B5399E">
        <w:rPr>
          <w:rFonts w:ascii="Times New Roman" w:hAnsi="Times New Roman" w:cs="Times New Roman"/>
          <w:sz w:val="28"/>
          <w:szCs w:val="28"/>
        </w:rPr>
        <w:t>х</w:t>
      </w:r>
      <w:r w:rsidRPr="00B5399E">
        <w:rPr>
          <w:rFonts w:ascii="Times New Roman" w:hAnsi="Times New Roman" w:cs="Times New Roman"/>
          <w:sz w:val="28"/>
          <w:szCs w:val="28"/>
        </w:rPr>
        <w:t xml:space="preserve"> в Приложении к указанию Банка России от 5</w:t>
      </w:r>
      <w:r w:rsidR="00156D9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5399E">
        <w:rPr>
          <w:rFonts w:ascii="Times New Roman" w:hAnsi="Times New Roman" w:cs="Times New Roman"/>
          <w:sz w:val="28"/>
          <w:szCs w:val="28"/>
        </w:rPr>
        <w:t>2016</w:t>
      </w:r>
      <w:r w:rsidR="00156D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99E">
        <w:rPr>
          <w:rFonts w:ascii="Times New Roman" w:hAnsi="Times New Roman" w:cs="Times New Roman"/>
          <w:sz w:val="28"/>
          <w:szCs w:val="28"/>
        </w:rPr>
        <w:t xml:space="preserve"> № 4129-У «О составе и структуре активов акционерных инвестиционных фондов и </w:t>
      </w:r>
      <w:r w:rsidR="00156D96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Pr="00B5399E">
        <w:rPr>
          <w:rFonts w:ascii="Times New Roman" w:hAnsi="Times New Roman" w:cs="Times New Roman"/>
          <w:sz w:val="28"/>
          <w:szCs w:val="28"/>
        </w:rPr>
        <w:t>паевых инвестиционных фондов».</w:t>
      </w:r>
    </w:p>
    <w:p w:rsidR="00065CF3" w:rsidRDefault="00065CF3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E">
        <w:rPr>
          <w:rFonts w:ascii="Times New Roman" w:hAnsi="Times New Roman" w:cs="Times New Roman"/>
          <w:sz w:val="28"/>
          <w:szCs w:val="28"/>
        </w:rPr>
        <w:t xml:space="preserve">Настоящий Внутренний стандарт вступает в силу с </w:t>
      </w:r>
      <w:r w:rsidR="004014B5">
        <w:rPr>
          <w:rFonts w:ascii="Times New Roman" w:hAnsi="Times New Roman" w:cs="Times New Roman"/>
          <w:sz w:val="28"/>
          <w:szCs w:val="28"/>
        </w:rPr>
        <w:t xml:space="preserve">1 </w:t>
      </w:r>
      <w:r w:rsidR="00D603F2">
        <w:rPr>
          <w:rFonts w:ascii="Times New Roman" w:hAnsi="Times New Roman" w:cs="Times New Roman"/>
          <w:sz w:val="28"/>
          <w:szCs w:val="28"/>
        </w:rPr>
        <w:t>мая 2023 года</w:t>
      </w:r>
      <w:r w:rsidR="007729F2">
        <w:rPr>
          <w:rFonts w:ascii="Times New Roman" w:hAnsi="Times New Roman" w:cs="Times New Roman"/>
          <w:sz w:val="28"/>
          <w:szCs w:val="28"/>
        </w:rPr>
        <w:t>.</w:t>
      </w:r>
    </w:p>
    <w:p w:rsidR="007729F2" w:rsidRPr="00B5399E" w:rsidRDefault="007729F2" w:rsidP="00BB61B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1CDF" w:rsidRPr="00B5399E" w:rsidRDefault="007A3D75" w:rsidP="00985048">
      <w:pPr>
        <w:spacing w:before="240" w:after="24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399E">
        <w:rPr>
          <w:rFonts w:ascii="Times New Roman" w:hAnsi="Times New Roman" w:cs="Times New Roman"/>
          <w:b/>
          <w:sz w:val="28"/>
          <w:szCs w:val="28"/>
        </w:rPr>
        <w:t>2</w:t>
      </w:r>
      <w:r w:rsidR="00081CDF" w:rsidRPr="00B539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399E">
        <w:rPr>
          <w:rFonts w:ascii="Times New Roman" w:hAnsi="Times New Roman" w:cs="Times New Roman"/>
          <w:b/>
          <w:sz w:val="28"/>
          <w:szCs w:val="28"/>
        </w:rPr>
        <w:t>Т</w:t>
      </w:r>
      <w:r w:rsidR="00BB61B0" w:rsidRPr="00B5399E">
        <w:rPr>
          <w:rFonts w:ascii="Times New Roman" w:hAnsi="Times New Roman" w:cs="Times New Roman"/>
          <w:b/>
          <w:sz w:val="28"/>
          <w:szCs w:val="28"/>
        </w:rPr>
        <w:t>ермины и определения</w:t>
      </w:r>
    </w:p>
    <w:p w:rsidR="00302A05" w:rsidRPr="00B5399E" w:rsidRDefault="00081CDF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99E">
        <w:rPr>
          <w:rFonts w:ascii="Times New Roman" w:hAnsi="Times New Roman" w:cs="Times New Roman"/>
          <w:b/>
          <w:sz w:val="28"/>
          <w:szCs w:val="28"/>
        </w:rPr>
        <w:t>Администратор</w:t>
      </w:r>
      <w:r w:rsidRPr="00B5399E">
        <w:rPr>
          <w:rFonts w:ascii="Times New Roman" w:hAnsi="Times New Roman" w:cs="Times New Roman"/>
          <w:sz w:val="28"/>
          <w:szCs w:val="28"/>
        </w:rPr>
        <w:t xml:space="preserve"> – </w:t>
      </w:r>
      <w:r w:rsidR="0087272E">
        <w:rPr>
          <w:rFonts w:ascii="Times New Roman" w:hAnsi="Times New Roman" w:cs="Times New Roman"/>
          <w:sz w:val="28"/>
          <w:szCs w:val="28"/>
        </w:rPr>
        <w:t>у</w:t>
      </w:r>
      <w:r w:rsidR="0087272E" w:rsidRPr="00B5399E">
        <w:rPr>
          <w:rFonts w:ascii="Times New Roman" w:hAnsi="Times New Roman" w:cs="Times New Roman"/>
          <w:sz w:val="28"/>
          <w:szCs w:val="28"/>
        </w:rPr>
        <w:t xml:space="preserve">правляющая </w:t>
      </w:r>
      <w:r w:rsidRPr="00B5399E">
        <w:rPr>
          <w:rFonts w:ascii="Times New Roman" w:hAnsi="Times New Roman" w:cs="Times New Roman"/>
          <w:sz w:val="28"/>
          <w:szCs w:val="28"/>
        </w:rPr>
        <w:t xml:space="preserve">компания или </w:t>
      </w:r>
      <w:r w:rsidR="00825EEF" w:rsidRPr="00B5399E">
        <w:rPr>
          <w:rFonts w:ascii="Times New Roman" w:hAnsi="Times New Roman" w:cs="Times New Roman"/>
          <w:sz w:val="28"/>
          <w:szCs w:val="28"/>
        </w:rPr>
        <w:t xml:space="preserve">действующая </w:t>
      </w:r>
      <w:r w:rsidR="005C6964" w:rsidRPr="00B5399E">
        <w:rPr>
          <w:rFonts w:ascii="Times New Roman" w:hAnsi="Times New Roman" w:cs="Times New Roman"/>
          <w:sz w:val="28"/>
          <w:szCs w:val="28"/>
        </w:rPr>
        <w:t xml:space="preserve">на основании соответствующего договора с </w:t>
      </w:r>
      <w:r w:rsidR="0087272E">
        <w:rPr>
          <w:rFonts w:ascii="Times New Roman" w:hAnsi="Times New Roman" w:cs="Times New Roman"/>
          <w:sz w:val="28"/>
          <w:szCs w:val="28"/>
        </w:rPr>
        <w:t>у</w:t>
      </w:r>
      <w:r w:rsidR="0087272E" w:rsidRPr="00B5399E">
        <w:rPr>
          <w:rFonts w:ascii="Times New Roman" w:hAnsi="Times New Roman" w:cs="Times New Roman"/>
          <w:sz w:val="28"/>
          <w:szCs w:val="28"/>
        </w:rPr>
        <w:t xml:space="preserve">правляющей </w:t>
      </w:r>
      <w:r w:rsidR="005C6964" w:rsidRPr="00B5399E">
        <w:rPr>
          <w:rFonts w:ascii="Times New Roman" w:hAnsi="Times New Roman" w:cs="Times New Roman"/>
          <w:sz w:val="28"/>
          <w:szCs w:val="28"/>
        </w:rPr>
        <w:t xml:space="preserve">компанией </w:t>
      </w:r>
      <w:r w:rsidRPr="00B5399E">
        <w:rPr>
          <w:rFonts w:ascii="Times New Roman" w:hAnsi="Times New Roman" w:cs="Times New Roman"/>
          <w:sz w:val="28"/>
          <w:szCs w:val="28"/>
        </w:rPr>
        <w:t xml:space="preserve">иная организация, осуществляющая деятельность по сбору данных, </w:t>
      </w:r>
      <w:r w:rsidR="00575130" w:rsidRPr="00B5399E">
        <w:rPr>
          <w:rFonts w:ascii="Times New Roman" w:hAnsi="Times New Roman" w:cs="Times New Roman"/>
          <w:sz w:val="28"/>
          <w:szCs w:val="28"/>
        </w:rPr>
        <w:t>разработк</w:t>
      </w:r>
      <w:r w:rsidR="00575130">
        <w:rPr>
          <w:rFonts w:ascii="Times New Roman" w:hAnsi="Times New Roman" w:cs="Times New Roman"/>
          <w:sz w:val="28"/>
          <w:szCs w:val="28"/>
        </w:rPr>
        <w:t>е</w:t>
      </w:r>
      <w:r w:rsidR="00575130" w:rsidRPr="00B5399E">
        <w:rPr>
          <w:rFonts w:ascii="Times New Roman" w:hAnsi="Times New Roman" w:cs="Times New Roman"/>
          <w:sz w:val="28"/>
          <w:szCs w:val="28"/>
        </w:rPr>
        <w:t xml:space="preserve"> </w:t>
      </w:r>
      <w:r w:rsidRPr="00B5399E">
        <w:rPr>
          <w:rFonts w:ascii="Times New Roman" w:hAnsi="Times New Roman" w:cs="Times New Roman"/>
          <w:sz w:val="28"/>
          <w:szCs w:val="28"/>
        </w:rPr>
        <w:t xml:space="preserve">и </w:t>
      </w:r>
      <w:r w:rsidR="00575130" w:rsidRPr="00B5399E">
        <w:rPr>
          <w:rFonts w:ascii="Times New Roman" w:hAnsi="Times New Roman" w:cs="Times New Roman"/>
          <w:sz w:val="28"/>
          <w:szCs w:val="28"/>
        </w:rPr>
        <w:t>применени</w:t>
      </w:r>
      <w:r w:rsidR="00575130">
        <w:rPr>
          <w:rFonts w:ascii="Times New Roman" w:hAnsi="Times New Roman" w:cs="Times New Roman"/>
          <w:sz w:val="28"/>
          <w:szCs w:val="28"/>
        </w:rPr>
        <w:t>ю</w:t>
      </w:r>
      <w:r w:rsidR="00575130" w:rsidRPr="00B5399E">
        <w:rPr>
          <w:rFonts w:ascii="Times New Roman" w:hAnsi="Times New Roman" w:cs="Times New Roman"/>
          <w:sz w:val="28"/>
          <w:szCs w:val="28"/>
        </w:rPr>
        <w:t xml:space="preserve"> </w:t>
      </w:r>
      <w:r w:rsidRPr="00B5399E">
        <w:rPr>
          <w:rFonts w:ascii="Times New Roman" w:hAnsi="Times New Roman" w:cs="Times New Roman"/>
          <w:sz w:val="28"/>
          <w:szCs w:val="28"/>
        </w:rPr>
        <w:t>методологии, расчет</w:t>
      </w:r>
      <w:r w:rsidR="00575130">
        <w:rPr>
          <w:rFonts w:ascii="Times New Roman" w:hAnsi="Times New Roman" w:cs="Times New Roman"/>
          <w:sz w:val="28"/>
          <w:szCs w:val="28"/>
        </w:rPr>
        <w:t>у</w:t>
      </w:r>
      <w:r w:rsidRPr="00B5399E">
        <w:rPr>
          <w:rFonts w:ascii="Times New Roman" w:hAnsi="Times New Roman" w:cs="Times New Roman"/>
          <w:sz w:val="28"/>
          <w:szCs w:val="28"/>
        </w:rPr>
        <w:t xml:space="preserve"> и </w:t>
      </w:r>
      <w:r w:rsidR="00575130" w:rsidRPr="00B5399E">
        <w:rPr>
          <w:rFonts w:ascii="Times New Roman" w:hAnsi="Times New Roman" w:cs="Times New Roman"/>
          <w:sz w:val="28"/>
          <w:szCs w:val="28"/>
        </w:rPr>
        <w:t>публикаци</w:t>
      </w:r>
      <w:r w:rsidR="00575130">
        <w:rPr>
          <w:rFonts w:ascii="Times New Roman" w:hAnsi="Times New Roman" w:cs="Times New Roman"/>
          <w:sz w:val="28"/>
          <w:szCs w:val="28"/>
        </w:rPr>
        <w:t>и</w:t>
      </w:r>
      <w:r w:rsidR="00575130" w:rsidRPr="00B5399E">
        <w:rPr>
          <w:rFonts w:ascii="Times New Roman" w:hAnsi="Times New Roman" w:cs="Times New Roman"/>
          <w:sz w:val="28"/>
          <w:szCs w:val="28"/>
        </w:rPr>
        <w:t xml:space="preserve"> </w:t>
      </w:r>
      <w:r w:rsidRPr="00B5399E">
        <w:rPr>
          <w:rFonts w:ascii="Times New Roman" w:hAnsi="Times New Roman" w:cs="Times New Roman"/>
          <w:sz w:val="28"/>
          <w:szCs w:val="28"/>
        </w:rPr>
        <w:t>значений индикатора и расчетных стоимостей финансовых инструментов</w:t>
      </w:r>
      <w:r w:rsidR="00A82BF4" w:rsidRPr="00B5399E">
        <w:rPr>
          <w:rFonts w:ascii="Times New Roman" w:hAnsi="Times New Roman" w:cs="Times New Roman"/>
          <w:sz w:val="28"/>
          <w:szCs w:val="28"/>
        </w:rPr>
        <w:t xml:space="preserve">, </w:t>
      </w:r>
      <w:r w:rsidR="0089502A" w:rsidRPr="00B5399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D7A92" w:rsidRPr="00B5399E">
        <w:rPr>
          <w:rFonts w:ascii="Times New Roman" w:hAnsi="Times New Roman" w:cs="Times New Roman"/>
          <w:sz w:val="28"/>
          <w:szCs w:val="28"/>
        </w:rPr>
        <w:t xml:space="preserve">их </w:t>
      </w:r>
      <w:r w:rsidR="00575130" w:rsidRPr="00B5399E">
        <w:rPr>
          <w:rFonts w:ascii="Times New Roman" w:hAnsi="Times New Roman" w:cs="Times New Roman"/>
          <w:sz w:val="28"/>
          <w:szCs w:val="28"/>
        </w:rPr>
        <w:t>распространени</w:t>
      </w:r>
      <w:r w:rsidR="00575130">
        <w:rPr>
          <w:rFonts w:ascii="Times New Roman" w:hAnsi="Times New Roman" w:cs="Times New Roman"/>
          <w:sz w:val="28"/>
          <w:szCs w:val="28"/>
        </w:rPr>
        <w:t>ю</w:t>
      </w:r>
      <w:r w:rsidR="00575130" w:rsidRPr="00B5399E">
        <w:rPr>
          <w:rFonts w:ascii="Times New Roman" w:hAnsi="Times New Roman" w:cs="Times New Roman"/>
          <w:sz w:val="28"/>
          <w:szCs w:val="28"/>
        </w:rPr>
        <w:t xml:space="preserve"> </w:t>
      </w:r>
      <w:r w:rsidR="00A82BF4" w:rsidRPr="00B5399E">
        <w:rPr>
          <w:rFonts w:ascii="Times New Roman" w:hAnsi="Times New Roman" w:cs="Times New Roman"/>
          <w:sz w:val="28"/>
          <w:szCs w:val="28"/>
        </w:rPr>
        <w:t>среди инвесторов</w:t>
      </w:r>
      <w:r w:rsidR="00C35B69" w:rsidRPr="00B5399E">
        <w:rPr>
          <w:rFonts w:ascii="Times New Roman" w:hAnsi="Times New Roman" w:cs="Times New Roman"/>
          <w:sz w:val="28"/>
          <w:szCs w:val="28"/>
        </w:rPr>
        <w:t>.</w:t>
      </w:r>
      <w:r w:rsidR="00A82BF4" w:rsidRPr="00B5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A05" w:rsidRPr="00B5399E" w:rsidRDefault="00302A05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99E">
        <w:rPr>
          <w:rFonts w:ascii="Times New Roman" w:hAnsi="Times New Roman" w:cs="Times New Roman"/>
          <w:b/>
          <w:sz w:val="28"/>
          <w:szCs w:val="28"/>
        </w:rPr>
        <w:lastRenderedPageBreak/>
        <w:t>Индикатор</w:t>
      </w:r>
      <w:r w:rsidRPr="00B5399E">
        <w:rPr>
          <w:rFonts w:ascii="Times New Roman" w:hAnsi="Times New Roman" w:cs="Times New Roman"/>
          <w:sz w:val="28"/>
          <w:szCs w:val="28"/>
        </w:rPr>
        <w:t xml:space="preserve"> – количественный показатель, представленный индексом, ставкой, курсом, ценой или стоимостью </w:t>
      </w:r>
      <w:proofErr w:type="gramStart"/>
      <w:r w:rsidRPr="00B5399E">
        <w:rPr>
          <w:rFonts w:ascii="Times New Roman" w:hAnsi="Times New Roman" w:cs="Times New Roman"/>
          <w:sz w:val="28"/>
          <w:szCs w:val="28"/>
        </w:rPr>
        <w:t>активов</w:t>
      </w:r>
      <w:proofErr w:type="gramEnd"/>
      <w:r w:rsidRPr="00B5399E">
        <w:rPr>
          <w:rFonts w:ascii="Times New Roman" w:hAnsi="Times New Roman" w:cs="Times New Roman"/>
          <w:sz w:val="28"/>
          <w:szCs w:val="28"/>
        </w:rPr>
        <w:t xml:space="preserve"> или обязательств, в отношении которого осуществляется периодический расчет. </w:t>
      </w:r>
    </w:p>
    <w:p w:rsidR="00A82BF4" w:rsidRDefault="00081CDF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E">
        <w:rPr>
          <w:rFonts w:ascii="Times New Roman" w:hAnsi="Times New Roman" w:cs="Times New Roman"/>
          <w:b/>
          <w:sz w:val="28"/>
          <w:szCs w:val="28"/>
        </w:rPr>
        <w:t>Актив</w:t>
      </w:r>
      <w:r w:rsidRPr="00B5399E">
        <w:rPr>
          <w:rFonts w:ascii="Times New Roman" w:hAnsi="Times New Roman" w:cs="Times New Roman"/>
          <w:sz w:val="28"/>
          <w:szCs w:val="28"/>
        </w:rPr>
        <w:t xml:space="preserve"> – реальный товар, валюта или иные материальные</w:t>
      </w:r>
      <w:r w:rsidR="009A11CF" w:rsidRPr="00B5399E">
        <w:rPr>
          <w:rFonts w:ascii="Times New Roman" w:hAnsi="Times New Roman" w:cs="Times New Roman"/>
          <w:sz w:val="28"/>
          <w:szCs w:val="28"/>
        </w:rPr>
        <w:t xml:space="preserve"> активы, нематериальные активы, финансовые инструменты на актив, который предполагается оценить с помощью индикатора. Н</w:t>
      </w:r>
      <w:r w:rsidRPr="00B5399E">
        <w:rPr>
          <w:rFonts w:ascii="Times New Roman" w:hAnsi="Times New Roman" w:cs="Times New Roman"/>
          <w:sz w:val="28"/>
          <w:szCs w:val="28"/>
        </w:rPr>
        <w:t>апример, долевые ценные бумаги, облигации, фьючерсные контракты, свопы или опционы, процентные ставки, индексы, включая индексы, отслеживающие эффективность торговых стратегий, основанных на правилах, или волатил</w:t>
      </w:r>
      <w:r w:rsidR="009A11CF" w:rsidRPr="00B5399E">
        <w:rPr>
          <w:rFonts w:ascii="Times New Roman" w:hAnsi="Times New Roman" w:cs="Times New Roman"/>
          <w:sz w:val="28"/>
          <w:szCs w:val="28"/>
        </w:rPr>
        <w:t>ьность финансовых инструментов.</w:t>
      </w:r>
    </w:p>
    <w:p w:rsidR="007729F2" w:rsidRPr="00B5399E" w:rsidRDefault="007729F2" w:rsidP="00BB61B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1CDF" w:rsidRDefault="00A76987" w:rsidP="00FD0DC1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9E">
        <w:rPr>
          <w:rFonts w:ascii="Times New Roman" w:hAnsi="Times New Roman" w:cs="Times New Roman"/>
          <w:b/>
          <w:sz w:val="28"/>
          <w:szCs w:val="28"/>
        </w:rPr>
        <w:t>3</w:t>
      </w:r>
      <w:r w:rsidR="003E01C2" w:rsidRPr="00B539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3D75" w:rsidRPr="00B5399E">
        <w:rPr>
          <w:rFonts w:ascii="Times New Roman" w:hAnsi="Times New Roman" w:cs="Times New Roman"/>
          <w:b/>
          <w:sz w:val="28"/>
          <w:szCs w:val="28"/>
        </w:rPr>
        <w:t>О</w:t>
      </w:r>
      <w:r w:rsidR="00BB61B0" w:rsidRPr="00B5399E">
        <w:rPr>
          <w:rFonts w:ascii="Times New Roman" w:hAnsi="Times New Roman" w:cs="Times New Roman"/>
          <w:b/>
          <w:sz w:val="28"/>
          <w:szCs w:val="28"/>
        </w:rPr>
        <w:t xml:space="preserve">сновные принципы </w:t>
      </w:r>
    </w:p>
    <w:p w:rsidR="007729F2" w:rsidRPr="00B5399E" w:rsidRDefault="007729F2" w:rsidP="00FD0DC1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6D" w:rsidRPr="00B5399E" w:rsidRDefault="00E120C0" w:rsidP="00FD0DC1">
      <w:pPr>
        <w:spacing w:before="240" w:after="12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5399E">
        <w:rPr>
          <w:rFonts w:ascii="Times New Roman" w:hAnsi="Times New Roman" w:cs="Times New Roman"/>
          <w:b/>
          <w:sz w:val="28"/>
          <w:szCs w:val="28"/>
        </w:rPr>
        <w:t>1)</w:t>
      </w:r>
      <w:r w:rsidR="007E5C6D" w:rsidRPr="00B5399E">
        <w:rPr>
          <w:rFonts w:ascii="Times New Roman" w:hAnsi="Times New Roman" w:cs="Times New Roman"/>
          <w:b/>
          <w:sz w:val="28"/>
          <w:szCs w:val="28"/>
        </w:rPr>
        <w:t xml:space="preserve"> Общая ответственность </w:t>
      </w:r>
      <w:r w:rsidR="003E01C2" w:rsidRPr="00B5399E">
        <w:rPr>
          <w:rFonts w:ascii="Times New Roman" w:hAnsi="Times New Roman" w:cs="Times New Roman"/>
          <w:b/>
          <w:sz w:val="28"/>
          <w:szCs w:val="28"/>
        </w:rPr>
        <w:t>управляющей компании</w:t>
      </w:r>
    </w:p>
    <w:p w:rsidR="00D603F2" w:rsidRDefault="00C23911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E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="0076440A" w:rsidRPr="00B5399E">
        <w:rPr>
          <w:rFonts w:ascii="Times New Roman" w:hAnsi="Times New Roman" w:cs="Times New Roman"/>
          <w:sz w:val="28"/>
          <w:szCs w:val="28"/>
        </w:rPr>
        <w:t xml:space="preserve">несет ответственность за соблюдение </w:t>
      </w:r>
      <w:r w:rsidR="003E01C2" w:rsidRPr="00B5399E">
        <w:rPr>
          <w:rFonts w:ascii="Times New Roman" w:hAnsi="Times New Roman" w:cs="Times New Roman"/>
          <w:sz w:val="28"/>
          <w:szCs w:val="28"/>
        </w:rPr>
        <w:t>содержащихся в настоящем Внутреннем стандарте</w:t>
      </w:r>
      <w:r w:rsidR="0076440A" w:rsidRPr="00B5399E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3E01C2" w:rsidRPr="00B5399E">
        <w:rPr>
          <w:rFonts w:ascii="Times New Roman" w:hAnsi="Times New Roman" w:cs="Times New Roman"/>
          <w:sz w:val="28"/>
          <w:szCs w:val="28"/>
        </w:rPr>
        <w:t>о</w:t>
      </w:r>
      <w:r w:rsidR="00B052B4" w:rsidRPr="00B5399E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69794E" w:rsidRPr="00B5399E" w:rsidRDefault="00D603F2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52B4" w:rsidRPr="00B5399E">
        <w:rPr>
          <w:rFonts w:ascii="Times New Roman" w:hAnsi="Times New Roman" w:cs="Times New Roman"/>
          <w:sz w:val="28"/>
          <w:szCs w:val="28"/>
        </w:rPr>
        <w:t xml:space="preserve"> случае если управляющая компания передала все или часть функций администратора индикатора иному лицу на основании соответствующего договора, </w:t>
      </w:r>
      <w:r w:rsidR="00F438D2" w:rsidRPr="00B5399E">
        <w:rPr>
          <w:rFonts w:ascii="Times New Roman" w:hAnsi="Times New Roman" w:cs="Times New Roman"/>
          <w:sz w:val="28"/>
          <w:szCs w:val="28"/>
        </w:rPr>
        <w:t xml:space="preserve">управляющая компания несет ответственность </w:t>
      </w:r>
      <w:r w:rsidR="000B5DAD" w:rsidRPr="00B5399E">
        <w:rPr>
          <w:rFonts w:ascii="Times New Roman" w:hAnsi="Times New Roman" w:cs="Times New Roman"/>
          <w:sz w:val="28"/>
          <w:szCs w:val="28"/>
        </w:rPr>
        <w:t xml:space="preserve">за </w:t>
      </w:r>
      <w:r w:rsidR="00B052B4" w:rsidRPr="00B5399E">
        <w:rPr>
          <w:rFonts w:ascii="Times New Roman" w:hAnsi="Times New Roman" w:cs="Times New Roman"/>
          <w:sz w:val="28"/>
          <w:szCs w:val="28"/>
        </w:rPr>
        <w:t>соблюдение принципов</w:t>
      </w:r>
      <w:r w:rsidR="00180543" w:rsidRPr="00B5399E">
        <w:rPr>
          <w:rFonts w:ascii="Times New Roman" w:hAnsi="Times New Roman" w:cs="Times New Roman"/>
          <w:sz w:val="28"/>
          <w:szCs w:val="28"/>
        </w:rPr>
        <w:t>, применяемых к индикатору</w:t>
      </w:r>
      <w:r w:rsidR="003F20DA" w:rsidRPr="00B5399E">
        <w:rPr>
          <w:rFonts w:ascii="Times New Roman" w:hAnsi="Times New Roman" w:cs="Times New Roman"/>
          <w:sz w:val="28"/>
          <w:szCs w:val="28"/>
        </w:rPr>
        <w:t>.</w:t>
      </w:r>
      <w:r w:rsidR="003E01C2" w:rsidRPr="00B5399E">
        <w:rPr>
          <w:rFonts w:ascii="Times New Roman" w:hAnsi="Times New Roman" w:cs="Times New Roman"/>
          <w:sz w:val="28"/>
          <w:szCs w:val="28"/>
        </w:rPr>
        <w:t xml:space="preserve"> </w:t>
      </w:r>
      <w:r w:rsidR="002F58EB" w:rsidRPr="00B5399E">
        <w:rPr>
          <w:rFonts w:ascii="Times New Roman" w:hAnsi="Times New Roman" w:cs="Times New Roman"/>
          <w:sz w:val="28"/>
          <w:szCs w:val="28"/>
        </w:rPr>
        <w:t xml:space="preserve">При этом такой договор должен содержать: </w:t>
      </w:r>
    </w:p>
    <w:p w:rsidR="00F41DCE" w:rsidRPr="007729F2" w:rsidRDefault="00E120C0" w:rsidP="00E756F7">
      <w:pPr>
        <w:pStyle w:val="a3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729F2">
        <w:rPr>
          <w:rFonts w:ascii="Times New Roman" w:hAnsi="Times New Roman" w:cs="Times New Roman"/>
          <w:sz w:val="28"/>
          <w:szCs w:val="28"/>
        </w:rPr>
        <w:t>четко</w:t>
      </w:r>
      <w:r w:rsidR="00A50C31" w:rsidRPr="007729F2">
        <w:rPr>
          <w:rFonts w:ascii="Times New Roman" w:hAnsi="Times New Roman" w:cs="Times New Roman"/>
          <w:sz w:val="28"/>
          <w:szCs w:val="28"/>
        </w:rPr>
        <w:t>е описание</w:t>
      </w:r>
      <w:r w:rsidRPr="007729F2">
        <w:rPr>
          <w:rFonts w:ascii="Times New Roman" w:hAnsi="Times New Roman" w:cs="Times New Roman"/>
          <w:sz w:val="28"/>
          <w:szCs w:val="28"/>
        </w:rPr>
        <w:t xml:space="preserve"> и детализаци</w:t>
      </w:r>
      <w:r w:rsidR="00A50C31" w:rsidRPr="007729F2">
        <w:rPr>
          <w:rFonts w:ascii="Times New Roman" w:hAnsi="Times New Roman" w:cs="Times New Roman"/>
          <w:sz w:val="28"/>
          <w:szCs w:val="28"/>
        </w:rPr>
        <w:t>ю</w:t>
      </w:r>
      <w:r w:rsidRPr="007729F2">
        <w:rPr>
          <w:rFonts w:ascii="Times New Roman" w:hAnsi="Times New Roman" w:cs="Times New Roman"/>
          <w:sz w:val="28"/>
          <w:szCs w:val="28"/>
        </w:rPr>
        <w:t xml:space="preserve"> функций и обязанностей </w:t>
      </w:r>
      <w:r w:rsidR="00197E6E" w:rsidRPr="007729F2">
        <w:rPr>
          <w:rFonts w:ascii="Times New Roman" w:hAnsi="Times New Roman" w:cs="Times New Roman"/>
          <w:sz w:val="28"/>
          <w:szCs w:val="28"/>
        </w:rPr>
        <w:t>лица</w:t>
      </w:r>
      <w:r w:rsidR="00F41DCE" w:rsidRPr="007729F2">
        <w:rPr>
          <w:rFonts w:ascii="Times New Roman" w:hAnsi="Times New Roman" w:cs="Times New Roman"/>
          <w:sz w:val="28"/>
          <w:szCs w:val="28"/>
        </w:rPr>
        <w:t>;</w:t>
      </w:r>
    </w:p>
    <w:p w:rsidR="00F41DCE" w:rsidRPr="007729F2" w:rsidRDefault="00A50C31" w:rsidP="00E756F7">
      <w:pPr>
        <w:pStyle w:val="a3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729F2">
        <w:rPr>
          <w:rFonts w:ascii="Times New Roman" w:hAnsi="Times New Roman" w:cs="Times New Roman"/>
          <w:sz w:val="28"/>
          <w:szCs w:val="28"/>
        </w:rPr>
        <w:t>положения</w:t>
      </w:r>
      <w:r w:rsidR="003F20DA" w:rsidRPr="007729F2">
        <w:rPr>
          <w:rFonts w:ascii="Times New Roman" w:hAnsi="Times New Roman" w:cs="Times New Roman"/>
          <w:sz w:val="28"/>
          <w:szCs w:val="28"/>
        </w:rPr>
        <w:t xml:space="preserve">, </w:t>
      </w:r>
      <w:r w:rsidRPr="007729F2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3F20DA" w:rsidRPr="007729F2">
        <w:rPr>
          <w:rFonts w:ascii="Times New Roman" w:hAnsi="Times New Roman" w:cs="Times New Roman"/>
          <w:sz w:val="28"/>
          <w:szCs w:val="28"/>
        </w:rPr>
        <w:t xml:space="preserve"> следовани</w:t>
      </w:r>
      <w:r w:rsidR="00E120C0" w:rsidRPr="007729F2">
        <w:rPr>
          <w:rFonts w:ascii="Times New Roman" w:hAnsi="Times New Roman" w:cs="Times New Roman"/>
          <w:sz w:val="28"/>
          <w:szCs w:val="28"/>
        </w:rPr>
        <w:t>е</w:t>
      </w:r>
      <w:r w:rsidR="003F20DA" w:rsidRPr="007729F2">
        <w:rPr>
          <w:rFonts w:ascii="Times New Roman" w:hAnsi="Times New Roman" w:cs="Times New Roman"/>
          <w:sz w:val="28"/>
          <w:szCs w:val="28"/>
        </w:rPr>
        <w:t xml:space="preserve"> </w:t>
      </w:r>
      <w:r w:rsidR="00197E6E" w:rsidRPr="007729F2">
        <w:rPr>
          <w:rFonts w:ascii="Times New Roman" w:hAnsi="Times New Roman" w:cs="Times New Roman"/>
          <w:sz w:val="28"/>
          <w:szCs w:val="28"/>
        </w:rPr>
        <w:t>этого лица</w:t>
      </w:r>
      <w:r w:rsidR="001F08C7" w:rsidRPr="007729F2">
        <w:rPr>
          <w:rFonts w:ascii="Times New Roman" w:hAnsi="Times New Roman" w:cs="Times New Roman"/>
          <w:sz w:val="28"/>
          <w:szCs w:val="28"/>
        </w:rPr>
        <w:t xml:space="preserve"> содержащи</w:t>
      </w:r>
      <w:r w:rsidR="0028554D" w:rsidRPr="007729F2">
        <w:rPr>
          <w:rFonts w:ascii="Times New Roman" w:hAnsi="Times New Roman" w:cs="Times New Roman"/>
          <w:sz w:val="28"/>
          <w:szCs w:val="28"/>
        </w:rPr>
        <w:t>м</w:t>
      </w:r>
      <w:r w:rsidR="001F08C7" w:rsidRPr="007729F2">
        <w:rPr>
          <w:rFonts w:ascii="Times New Roman" w:hAnsi="Times New Roman" w:cs="Times New Roman"/>
          <w:sz w:val="28"/>
          <w:szCs w:val="28"/>
        </w:rPr>
        <w:t>ся в настоящем Внутреннем стандарте принцип</w:t>
      </w:r>
      <w:r w:rsidR="00197E6E" w:rsidRPr="007729F2">
        <w:rPr>
          <w:rFonts w:ascii="Times New Roman" w:hAnsi="Times New Roman" w:cs="Times New Roman"/>
          <w:sz w:val="28"/>
          <w:szCs w:val="28"/>
        </w:rPr>
        <w:t>ам</w:t>
      </w:r>
      <w:r w:rsidR="00F41DCE" w:rsidRPr="007729F2">
        <w:rPr>
          <w:rFonts w:ascii="Times New Roman" w:hAnsi="Times New Roman" w:cs="Times New Roman"/>
          <w:sz w:val="28"/>
          <w:szCs w:val="28"/>
        </w:rPr>
        <w:t>;</w:t>
      </w:r>
    </w:p>
    <w:p w:rsidR="00F41DCE" w:rsidRPr="007729F2" w:rsidRDefault="00197E6E" w:rsidP="00E756F7">
      <w:pPr>
        <w:pStyle w:val="a3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729F2">
        <w:rPr>
          <w:rFonts w:ascii="Times New Roman" w:hAnsi="Times New Roman" w:cs="Times New Roman"/>
          <w:sz w:val="28"/>
          <w:szCs w:val="28"/>
        </w:rPr>
        <w:t>ответственность лица з</w:t>
      </w:r>
      <w:r w:rsidR="00F41DCE" w:rsidRPr="007729F2">
        <w:rPr>
          <w:rFonts w:ascii="Times New Roman" w:hAnsi="Times New Roman" w:cs="Times New Roman"/>
          <w:sz w:val="28"/>
          <w:szCs w:val="28"/>
        </w:rPr>
        <w:t>а неисполнение условий договора;</w:t>
      </w:r>
      <w:r w:rsidRPr="00772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DCE" w:rsidRDefault="00A50C31" w:rsidP="00E756F7">
      <w:pPr>
        <w:pStyle w:val="a3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9F2">
        <w:rPr>
          <w:rFonts w:ascii="Times New Roman" w:hAnsi="Times New Roman" w:cs="Times New Roman"/>
          <w:bCs/>
          <w:sz w:val="28"/>
          <w:szCs w:val="28"/>
        </w:rPr>
        <w:t>ответственность</w:t>
      </w:r>
      <w:r w:rsidR="00F41DCE" w:rsidRPr="007729F2">
        <w:rPr>
          <w:rFonts w:ascii="Times New Roman" w:hAnsi="Times New Roman" w:cs="Times New Roman"/>
          <w:bCs/>
          <w:sz w:val="28"/>
          <w:szCs w:val="28"/>
        </w:rPr>
        <w:t xml:space="preserve"> лица в случае прекращения с его стороны расчета</w:t>
      </w:r>
      <w:r w:rsidR="007D7A92" w:rsidRPr="007729F2">
        <w:rPr>
          <w:rFonts w:ascii="Times New Roman" w:hAnsi="Times New Roman" w:cs="Times New Roman"/>
          <w:bCs/>
          <w:sz w:val="28"/>
          <w:szCs w:val="28"/>
        </w:rPr>
        <w:t xml:space="preserve"> и публикации</w:t>
      </w:r>
      <w:r w:rsidR="00F41DCE" w:rsidRPr="007729F2">
        <w:rPr>
          <w:rFonts w:ascii="Times New Roman" w:hAnsi="Times New Roman" w:cs="Times New Roman"/>
          <w:bCs/>
          <w:sz w:val="28"/>
          <w:szCs w:val="28"/>
        </w:rPr>
        <w:t xml:space="preserve"> используемого управляющей компанией индикатора.</w:t>
      </w:r>
    </w:p>
    <w:p w:rsidR="007729F2" w:rsidRDefault="007729F2" w:rsidP="007729F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3516" w:rsidRPr="00B5399E" w:rsidRDefault="00DA3516" w:rsidP="00FD0DC1">
      <w:pPr>
        <w:spacing w:before="240" w:after="12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5399E">
        <w:rPr>
          <w:rFonts w:ascii="Times New Roman" w:hAnsi="Times New Roman" w:cs="Times New Roman"/>
          <w:b/>
          <w:sz w:val="28"/>
          <w:szCs w:val="28"/>
        </w:rPr>
        <w:lastRenderedPageBreak/>
        <w:t>2) Открытость информации</w:t>
      </w:r>
      <w:r w:rsidR="00CD5E8C" w:rsidRPr="00B53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176" w:rsidRPr="00B5399E" w:rsidRDefault="00DA3516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E">
        <w:rPr>
          <w:rFonts w:ascii="Times New Roman" w:hAnsi="Times New Roman" w:cs="Times New Roman"/>
          <w:sz w:val="28"/>
          <w:szCs w:val="28"/>
        </w:rPr>
        <w:t xml:space="preserve">Раскрытие предусмотренных </w:t>
      </w:r>
      <w:r w:rsidR="00BF75B8" w:rsidRPr="00B5399E">
        <w:rPr>
          <w:rFonts w:ascii="Times New Roman" w:hAnsi="Times New Roman" w:cs="Times New Roman"/>
          <w:sz w:val="28"/>
          <w:szCs w:val="28"/>
        </w:rPr>
        <w:t>настоящ</w:t>
      </w:r>
      <w:r w:rsidR="00BF75B8">
        <w:rPr>
          <w:rFonts w:ascii="Times New Roman" w:hAnsi="Times New Roman" w:cs="Times New Roman"/>
          <w:sz w:val="28"/>
          <w:szCs w:val="28"/>
        </w:rPr>
        <w:t>им</w:t>
      </w:r>
      <w:r w:rsidR="00BF75B8" w:rsidRPr="00B5399E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BF75B8">
        <w:rPr>
          <w:rFonts w:ascii="Times New Roman" w:hAnsi="Times New Roman" w:cs="Times New Roman"/>
          <w:sz w:val="28"/>
          <w:szCs w:val="28"/>
        </w:rPr>
        <w:t>и</w:t>
      </w:r>
      <w:r w:rsidR="00BF75B8" w:rsidRPr="00B5399E">
        <w:rPr>
          <w:rFonts w:ascii="Times New Roman" w:hAnsi="Times New Roman" w:cs="Times New Roman"/>
          <w:sz w:val="28"/>
          <w:szCs w:val="28"/>
        </w:rPr>
        <w:t>м стандарт</w:t>
      </w:r>
      <w:r w:rsidR="00BF75B8">
        <w:rPr>
          <w:rFonts w:ascii="Times New Roman" w:hAnsi="Times New Roman" w:cs="Times New Roman"/>
          <w:sz w:val="28"/>
          <w:szCs w:val="28"/>
        </w:rPr>
        <w:t>ом</w:t>
      </w:r>
      <w:r w:rsidR="00BF75B8" w:rsidRPr="00B5399E">
        <w:rPr>
          <w:rFonts w:ascii="Times New Roman" w:hAnsi="Times New Roman" w:cs="Times New Roman"/>
          <w:sz w:val="28"/>
          <w:szCs w:val="28"/>
        </w:rPr>
        <w:t xml:space="preserve"> </w:t>
      </w:r>
      <w:r w:rsidRPr="00B5399E">
        <w:rPr>
          <w:rFonts w:ascii="Times New Roman" w:hAnsi="Times New Roman" w:cs="Times New Roman"/>
          <w:sz w:val="28"/>
          <w:szCs w:val="28"/>
        </w:rPr>
        <w:t xml:space="preserve">документов и информации осуществляется на официальном сайте </w:t>
      </w:r>
      <w:r w:rsidR="00BF75B8">
        <w:rPr>
          <w:rFonts w:ascii="Times New Roman" w:hAnsi="Times New Roman" w:cs="Times New Roman"/>
          <w:sz w:val="28"/>
          <w:szCs w:val="28"/>
        </w:rPr>
        <w:t>у</w:t>
      </w:r>
      <w:r w:rsidR="00BF75B8" w:rsidRPr="00B5399E">
        <w:rPr>
          <w:rFonts w:ascii="Times New Roman" w:hAnsi="Times New Roman" w:cs="Times New Roman"/>
          <w:sz w:val="28"/>
          <w:szCs w:val="28"/>
        </w:rPr>
        <w:t xml:space="preserve">правляющей </w:t>
      </w:r>
      <w:r w:rsidRPr="00B5399E">
        <w:rPr>
          <w:rFonts w:ascii="Times New Roman" w:hAnsi="Times New Roman" w:cs="Times New Roman"/>
          <w:sz w:val="28"/>
          <w:szCs w:val="28"/>
        </w:rPr>
        <w:t>компании в информационно-телек</w:t>
      </w:r>
      <w:r w:rsidR="005C6964" w:rsidRPr="00B5399E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  <w:r w:rsidR="002514DA" w:rsidRPr="00B5399E">
        <w:rPr>
          <w:rFonts w:ascii="Times New Roman" w:hAnsi="Times New Roman" w:cs="Times New Roman"/>
          <w:sz w:val="28"/>
          <w:szCs w:val="28"/>
        </w:rPr>
        <w:t xml:space="preserve"> </w:t>
      </w:r>
      <w:r w:rsidR="005C6964" w:rsidRPr="00B5399E">
        <w:rPr>
          <w:rFonts w:ascii="Times New Roman" w:hAnsi="Times New Roman" w:cs="Times New Roman"/>
          <w:sz w:val="28"/>
          <w:szCs w:val="28"/>
        </w:rPr>
        <w:t>В</w:t>
      </w:r>
      <w:r w:rsidR="002514DA" w:rsidRPr="00B5399E">
        <w:rPr>
          <w:rFonts w:ascii="Times New Roman" w:hAnsi="Times New Roman" w:cs="Times New Roman"/>
          <w:sz w:val="28"/>
          <w:szCs w:val="28"/>
        </w:rPr>
        <w:t xml:space="preserve"> случае передачи всех или части фун</w:t>
      </w:r>
      <w:r w:rsidR="005C6964" w:rsidRPr="00B5399E">
        <w:rPr>
          <w:rFonts w:ascii="Times New Roman" w:hAnsi="Times New Roman" w:cs="Times New Roman"/>
          <w:sz w:val="28"/>
          <w:szCs w:val="28"/>
        </w:rPr>
        <w:t xml:space="preserve">кций администратора иному лицу </w:t>
      </w:r>
      <w:r w:rsidR="00BF75B8">
        <w:rPr>
          <w:rFonts w:ascii="Times New Roman" w:hAnsi="Times New Roman" w:cs="Times New Roman"/>
          <w:sz w:val="28"/>
          <w:szCs w:val="28"/>
        </w:rPr>
        <w:t>у</w:t>
      </w:r>
      <w:r w:rsidR="00BF75B8" w:rsidRPr="00B5399E">
        <w:rPr>
          <w:rFonts w:ascii="Times New Roman" w:hAnsi="Times New Roman" w:cs="Times New Roman"/>
          <w:sz w:val="28"/>
          <w:szCs w:val="28"/>
        </w:rPr>
        <w:t xml:space="preserve">правляющая </w:t>
      </w:r>
      <w:r w:rsidR="002514DA" w:rsidRPr="00B5399E">
        <w:rPr>
          <w:rFonts w:ascii="Times New Roman" w:hAnsi="Times New Roman" w:cs="Times New Roman"/>
          <w:sz w:val="28"/>
          <w:szCs w:val="28"/>
        </w:rPr>
        <w:t>компания</w:t>
      </w:r>
      <w:r w:rsidR="005C6964" w:rsidRPr="00B5399E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2514DA" w:rsidRPr="00B5399E">
        <w:rPr>
          <w:rFonts w:ascii="Times New Roman" w:hAnsi="Times New Roman" w:cs="Times New Roman"/>
          <w:sz w:val="28"/>
          <w:szCs w:val="28"/>
        </w:rPr>
        <w:t xml:space="preserve"> публикует перечень </w:t>
      </w:r>
      <w:r w:rsidR="005C6964" w:rsidRPr="00B5399E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2514DA" w:rsidRPr="00B5399E">
        <w:rPr>
          <w:rFonts w:ascii="Times New Roman" w:hAnsi="Times New Roman" w:cs="Times New Roman"/>
          <w:sz w:val="28"/>
          <w:szCs w:val="28"/>
        </w:rPr>
        <w:t>лиц с указанием переданных им функций</w:t>
      </w:r>
      <w:r w:rsidR="00AC0176" w:rsidRPr="00B5399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C0176" w:rsidRPr="00B5399E">
        <w:rPr>
          <w:rFonts w:ascii="Times New Roman" w:hAnsi="Times New Roman" w:cs="Times New Roman"/>
          <w:bCs/>
          <w:sz w:val="28"/>
          <w:szCs w:val="28"/>
        </w:rPr>
        <w:t xml:space="preserve">ссылок на их сайты </w:t>
      </w:r>
      <w:r w:rsidR="00AC0176" w:rsidRPr="00B5399E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5C6964" w:rsidRPr="00B5399E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AC0176" w:rsidRPr="00B5399E">
        <w:rPr>
          <w:rFonts w:ascii="Times New Roman" w:hAnsi="Times New Roman" w:cs="Times New Roman"/>
          <w:sz w:val="28"/>
          <w:szCs w:val="28"/>
        </w:rPr>
        <w:t>.</w:t>
      </w:r>
    </w:p>
    <w:p w:rsidR="002514DA" w:rsidRDefault="002514DA" w:rsidP="002514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E">
        <w:rPr>
          <w:rFonts w:ascii="Times New Roman" w:hAnsi="Times New Roman" w:cs="Times New Roman"/>
          <w:sz w:val="28"/>
          <w:szCs w:val="28"/>
        </w:rPr>
        <w:t xml:space="preserve">В случае если какие-либо решения </w:t>
      </w:r>
      <w:r w:rsidR="007D7A92" w:rsidRPr="00B5399E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Pr="00B5399E">
        <w:rPr>
          <w:rFonts w:ascii="Times New Roman" w:hAnsi="Times New Roman" w:cs="Times New Roman"/>
          <w:sz w:val="28"/>
          <w:szCs w:val="28"/>
        </w:rPr>
        <w:t xml:space="preserve">могут оказать влияние на используемые в рамках доверительного управления ПИФ индикаторы, </w:t>
      </w:r>
      <w:r w:rsidR="00F647A3" w:rsidRPr="00B5399E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Pr="00B5399E">
        <w:rPr>
          <w:rFonts w:ascii="Times New Roman" w:hAnsi="Times New Roman" w:cs="Times New Roman"/>
          <w:sz w:val="28"/>
          <w:szCs w:val="28"/>
        </w:rPr>
        <w:t>компания должна раскрывать данную информацию</w:t>
      </w:r>
      <w:r w:rsidR="00F647A3" w:rsidRPr="00B5399E">
        <w:rPr>
          <w:rFonts w:ascii="Times New Roman" w:hAnsi="Times New Roman" w:cs="Times New Roman"/>
          <w:sz w:val="28"/>
          <w:szCs w:val="28"/>
        </w:rPr>
        <w:t>.</w:t>
      </w:r>
    </w:p>
    <w:p w:rsidR="007729F2" w:rsidRPr="00B5399E" w:rsidRDefault="007729F2" w:rsidP="002514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B67" w:rsidRPr="00B5399E" w:rsidRDefault="00B976FF" w:rsidP="00FD0DC1">
      <w:pPr>
        <w:spacing w:before="240" w:after="12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5399E">
        <w:rPr>
          <w:rFonts w:ascii="Times New Roman" w:hAnsi="Times New Roman" w:cs="Times New Roman"/>
          <w:b/>
          <w:sz w:val="28"/>
          <w:szCs w:val="28"/>
        </w:rPr>
        <w:t>3</w:t>
      </w:r>
      <w:r w:rsidR="00E120C0" w:rsidRPr="00B5399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67B67" w:rsidRPr="00B5399E">
        <w:rPr>
          <w:rFonts w:ascii="Times New Roman" w:hAnsi="Times New Roman" w:cs="Times New Roman"/>
          <w:b/>
          <w:sz w:val="28"/>
          <w:szCs w:val="28"/>
        </w:rPr>
        <w:t>Прозрачность м</w:t>
      </w:r>
      <w:r w:rsidR="00E120C0" w:rsidRPr="00B5399E">
        <w:rPr>
          <w:rFonts w:ascii="Times New Roman" w:hAnsi="Times New Roman" w:cs="Times New Roman"/>
          <w:b/>
          <w:sz w:val="28"/>
          <w:szCs w:val="28"/>
        </w:rPr>
        <w:t>етодологи</w:t>
      </w:r>
      <w:r w:rsidR="00467B67" w:rsidRPr="00B5399E">
        <w:rPr>
          <w:rFonts w:ascii="Times New Roman" w:hAnsi="Times New Roman" w:cs="Times New Roman"/>
          <w:b/>
          <w:sz w:val="28"/>
          <w:szCs w:val="28"/>
        </w:rPr>
        <w:t>и</w:t>
      </w:r>
      <w:r w:rsidR="00CE7F7E" w:rsidRPr="00B53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D49" w:rsidRPr="00B5399E" w:rsidRDefault="00720F35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E">
        <w:rPr>
          <w:rFonts w:ascii="Times New Roman" w:hAnsi="Times New Roman" w:cs="Times New Roman"/>
          <w:sz w:val="28"/>
          <w:szCs w:val="28"/>
        </w:rPr>
        <w:t>А</w:t>
      </w:r>
      <w:r w:rsidR="00CE7F7E" w:rsidRPr="00B5399E">
        <w:rPr>
          <w:rFonts w:ascii="Times New Roman" w:hAnsi="Times New Roman" w:cs="Times New Roman"/>
          <w:sz w:val="28"/>
          <w:szCs w:val="28"/>
        </w:rPr>
        <w:t>дминистратор</w:t>
      </w:r>
      <w:r w:rsidR="00196D49" w:rsidRPr="00B5399E">
        <w:rPr>
          <w:rFonts w:ascii="Times New Roman" w:hAnsi="Times New Roman" w:cs="Times New Roman"/>
          <w:sz w:val="28"/>
          <w:szCs w:val="28"/>
        </w:rPr>
        <w:t xml:space="preserve">у необходимо задокументировать и опубликовать методику </w:t>
      </w:r>
      <w:r w:rsidR="00761BB5" w:rsidRPr="00B5399E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1670EC" w:rsidRPr="00B5399E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196D49" w:rsidRPr="00B5399E">
        <w:rPr>
          <w:rFonts w:ascii="Times New Roman" w:hAnsi="Times New Roman" w:cs="Times New Roman"/>
          <w:sz w:val="28"/>
          <w:szCs w:val="28"/>
        </w:rPr>
        <w:t xml:space="preserve">индикатора, позволяющую понять </w:t>
      </w:r>
      <w:r w:rsidR="00A73713" w:rsidRPr="00B5399E">
        <w:rPr>
          <w:rFonts w:ascii="Times New Roman" w:hAnsi="Times New Roman" w:cs="Times New Roman"/>
          <w:sz w:val="28"/>
          <w:szCs w:val="28"/>
        </w:rPr>
        <w:t>характер и принцип</w:t>
      </w:r>
      <w:r w:rsidR="00216DAD" w:rsidRPr="00B5399E">
        <w:rPr>
          <w:rFonts w:ascii="Times New Roman" w:hAnsi="Times New Roman" w:cs="Times New Roman"/>
          <w:sz w:val="28"/>
          <w:szCs w:val="28"/>
        </w:rPr>
        <w:t xml:space="preserve"> </w:t>
      </w:r>
      <w:r w:rsidR="00A73713" w:rsidRPr="00B5399E">
        <w:rPr>
          <w:rFonts w:ascii="Times New Roman" w:hAnsi="Times New Roman" w:cs="Times New Roman"/>
          <w:sz w:val="28"/>
          <w:szCs w:val="28"/>
        </w:rPr>
        <w:t>формирования</w:t>
      </w:r>
      <w:r w:rsidR="00196D49" w:rsidRPr="00B5399E">
        <w:rPr>
          <w:rFonts w:ascii="Times New Roman" w:hAnsi="Times New Roman" w:cs="Times New Roman"/>
          <w:sz w:val="28"/>
          <w:szCs w:val="28"/>
        </w:rPr>
        <w:t xml:space="preserve"> индикатора, а также оценить его репрезентативность, релевантность и пригодность в качестве эталона </w:t>
      </w:r>
      <w:r w:rsidR="00B85ACE" w:rsidRPr="00A06A43">
        <w:rPr>
          <w:rFonts w:ascii="Times New Roman" w:hAnsi="Times New Roman" w:cs="Times New Roman"/>
          <w:sz w:val="28"/>
          <w:szCs w:val="28"/>
        </w:rPr>
        <w:t>для</w:t>
      </w:r>
      <w:r w:rsidR="00196D49" w:rsidRPr="00B5399E">
        <w:rPr>
          <w:rFonts w:ascii="Times New Roman" w:hAnsi="Times New Roman" w:cs="Times New Roman"/>
          <w:sz w:val="28"/>
          <w:szCs w:val="28"/>
        </w:rPr>
        <w:t xml:space="preserve"> ценообразова</w:t>
      </w:r>
      <w:r w:rsidR="00216DAD" w:rsidRPr="00B5399E">
        <w:rPr>
          <w:rFonts w:ascii="Times New Roman" w:hAnsi="Times New Roman" w:cs="Times New Roman"/>
          <w:sz w:val="28"/>
          <w:szCs w:val="28"/>
        </w:rPr>
        <w:t>ния финансовых инструментов (например, число и объем транзакций, учитываемых в индикаторе, диапазон и средний объем транзакций, диапазон и среднее значение цены, доля каждого типа исходных данных, учитываемых в индикаторе).</w:t>
      </w:r>
    </w:p>
    <w:p w:rsidR="00216DAD" w:rsidRPr="00B5399E" w:rsidRDefault="00216DAD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E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8D1B61" w:rsidRPr="00B5399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B5399E">
        <w:rPr>
          <w:rFonts w:ascii="Times New Roman" w:hAnsi="Times New Roman" w:cs="Times New Roman"/>
          <w:sz w:val="28"/>
          <w:szCs w:val="28"/>
        </w:rPr>
        <w:t>должна содержать</w:t>
      </w:r>
      <w:r w:rsidR="004014B5"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B539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6DAD" w:rsidRPr="007729F2" w:rsidRDefault="00216DAD" w:rsidP="00E756F7">
      <w:pPr>
        <w:pStyle w:val="a3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729F2">
        <w:rPr>
          <w:rFonts w:ascii="Times New Roman" w:hAnsi="Times New Roman" w:cs="Times New Roman"/>
          <w:sz w:val="28"/>
          <w:szCs w:val="28"/>
        </w:rPr>
        <w:t>критерии и процедуры, включая выбор исходных данных</w:t>
      </w:r>
      <w:r w:rsidR="008D1B61" w:rsidRPr="007729F2">
        <w:rPr>
          <w:rFonts w:ascii="Times New Roman" w:hAnsi="Times New Roman" w:cs="Times New Roman"/>
          <w:sz w:val="28"/>
          <w:szCs w:val="28"/>
        </w:rPr>
        <w:t xml:space="preserve">, </w:t>
      </w:r>
      <w:r w:rsidRPr="007729F2">
        <w:rPr>
          <w:rFonts w:ascii="Times New Roman" w:hAnsi="Times New Roman" w:cs="Times New Roman"/>
          <w:sz w:val="28"/>
          <w:szCs w:val="28"/>
        </w:rPr>
        <w:t xml:space="preserve">приоритет определенных типов исходных данных, минимальный объем данных для расчета индикатора, </w:t>
      </w:r>
      <w:r w:rsidR="008D1B61" w:rsidRPr="007729F2">
        <w:rPr>
          <w:rFonts w:ascii="Times New Roman" w:hAnsi="Times New Roman" w:cs="Times New Roman"/>
          <w:sz w:val="28"/>
          <w:szCs w:val="28"/>
        </w:rPr>
        <w:t xml:space="preserve">принципы выставления экспертных оценок, </w:t>
      </w:r>
      <w:r w:rsidRPr="007729F2">
        <w:rPr>
          <w:rFonts w:ascii="Times New Roman" w:hAnsi="Times New Roman" w:cs="Times New Roman"/>
          <w:sz w:val="28"/>
          <w:szCs w:val="28"/>
        </w:rPr>
        <w:t xml:space="preserve">модели или методы экстраполяции; </w:t>
      </w:r>
    </w:p>
    <w:p w:rsidR="0052604A" w:rsidRPr="007729F2" w:rsidRDefault="0052604A" w:rsidP="00E756F7">
      <w:pPr>
        <w:pStyle w:val="a3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729F2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индикатора с использованием формул и иных </w:t>
      </w:r>
      <w:r w:rsidR="007D7A92" w:rsidRPr="007729F2">
        <w:rPr>
          <w:rFonts w:ascii="Times New Roman" w:hAnsi="Times New Roman" w:cs="Times New Roman"/>
          <w:sz w:val="28"/>
          <w:szCs w:val="28"/>
        </w:rPr>
        <w:t>метод</w:t>
      </w:r>
      <w:r w:rsidRPr="007729F2">
        <w:rPr>
          <w:rFonts w:ascii="Times New Roman" w:hAnsi="Times New Roman" w:cs="Times New Roman"/>
          <w:sz w:val="28"/>
          <w:szCs w:val="28"/>
        </w:rPr>
        <w:t>ов</w:t>
      </w:r>
      <w:r w:rsidR="007D7A92" w:rsidRPr="007729F2">
        <w:rPr>
          <w:rFonts w:ascii="Times New Roman" w:hAnsi="Times New Roman" w:cs="Times New Roman"/>
          <w:sz w:val="28"/>
          <w:szCs w:val="28"/>
        </w:rPr>
        <w:t xml:space="preserve"> определения значения индикатора</w:t>
      </w:r>
      <w:r w:rsidRPr="007729F2">
        <w:rPr>
          <w:rFonts w:ascii="Times New Roman" w:hAnsi="Times New Roman" w:cs="Times New Roman"/>
          <w:sz w:val="28"/>
          <w:szCs w:val="28"/>
        </w:rPr>
        <w:t>, периодичность расчета индикатора;</w:t>
      </w:r>
    </w:p>
    <w:p w:rsidR="00216DAD" w:rsidRPr="007729F2" w:rsidRDefault="00EA1255" w:rsidP="00E756F7">
      <w:pPr>
        <w:pStyle w:val="a3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729F2">
        <w:rPr>
          <w:rFonts w:ascii="Times New Roman" w:hAnsi="Times New Roman" w:cs="Times New Roman"/>
          <w:sz w:val="28"/>
          <w:szCs w:val="28"/>
        </w:rPr>
        <w:t xml:space="preserve">критерии и </w:t>
      </w:r>
      <w:r w:rsidR="008D1B61" w:rsidRPr="007729F2">
        <w:rPr>
          <w:rFonts w:ascii="Times New Roman" w:hAnsi="Times New Roman" w:cs="Times New Roman"/>
          <w:sz w:val="28"/>
          <w:szCs w:val="28"/>
        </w:rPr>
        <w:t>процедуры, регламе</w:t>
      </w:r>
      <w:r w:rsidR="000A081D" w:rsidRPr="007729F2">
        <w:rPr>
          <w:rFonts w:ascii="Times New Roman" w:hAnsi="Times New Roman" w:cs="Times New Roman"/>
          <w:sz w:val="28"/>
          <w:szCs w:val="28"/>
        </w:rPr>
        <w:t xml:space="preserve">нтирующие пересмотр индикатора, в том числе </w:t>
      </w:r>
      <w:r w:rsidR="00216DAD" w:rsidRPr="007729F2">
        <w:rPr>
          <w:rFonts w:ascii="Times New Roman" w:hAnsi="Times New Roman" w:cs="Times New Roman"/>
          <w:sz w:val="28"/>
          <w:szCs w:val="28"/>
        </w:rPr>
        <w:t xml:space="preserve">в периоды рыночного стресса или сбоя, а также в периоды, когда источники исходных данных недоступны (например, модели статистических оценок); </w:t>
      </w:r>
    </w:p>
    <w:p w:rsidR="003B131D" w:rsidRPr="007729F2" w:rsidRDefault="00EA1255" w:rsidP="00E756F7">
      <w:pPr>
        <w:pStyle w:val="a3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729F2">
        <w:rPr>
          <w:rFonts w:ascii="Times New Roman" w:hAnsi="Times New Roman" w:cs="Times New Roman"/>
          <w:sz w:val="28"/>
          <w:szCs w:val="28"/>
        </w:rPr>
        <w:t>критерии</w:t>
      </w:r>
      <w:r w:rsidR="008D1B61" w:rsidRPr="007729F2">
        <w:rPr>
          <w:rFonts w:ascii="Times New Roman" w:hAnsi="Times New Roman" w:cs="Times New Roman"/>
          <w:sz w:val="28"/>
          <w:szCs w:val="28"/>
        </w:rPr>
        <w:t xml:space="preserve"> пересмотра методики</w:t>
      </w:r>
      <w:r w:rsidR="000152E3" w:rsidRPr="007729F2">
        <w:rPr>
          <w:rFonts w:ascii="Times New Roman" w:hAnsi="Times New Roman" w:cs="Times New Roman"/>
          <w:sz w:val="28"/>
          <w:szCs w:val="28"/>
        </w:rPr>
        <w:t>;</w:t>
      </w:r>
    </w:p>
    <w:p w:rsidR="000152E3" w:rsidRPr="007729F2" w:rsidRDefault="000152E3" w:rsidP="00E756F7">
      <w:pPr>
        <w:pStyle w:val="a3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729F2">
        <w:rPr>
          <w:rFonts w:ascii="Times New Roman" w:hAnsi="Times New Roman" w:cs="Times New Roman"/>
          <w:sz w:val="28"/>
          <w:szCs w:val="28"/>
        </w:rPr>
        <w:t xml:space="preserve">процедуру рассмотрения обращений </w:t>
      </w:r>
      <w:r w:rsidR="00513C22" w:rsidRPr="007729F2">
        <w:rPr>
          <w:rFonts w:ascii="Times New Roman" w:hAnsi="Times New Roman" w:cs="Times New Roman"/>
          <w:sz w:val="28"/>
          <w:szCs w:val="28"/>
        </w:rPr>
        <w:t>третьих лиц</w:t>
      </w:r>
      <w:r w:rsidRPr="007729F2">
        <w:rPr>
          <w:rFonts w:ascii="Times New Roman" w:hAnsi="Times New Roman" w:cs="Times New Roman"/>
          <w:sz w:val="28"/>
          <w:szCs w:val="28"/>
        </w:rPr>
        <w:t xml:space="preserve"> по </w:t>
      </w:r>
      <w:r w:rsidR="009E1DFC" w:rsidRPr="007729F2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A25840" w:rsidRPr="007729F2">
        <w:rPr>
          <w:rFonts w:ascii="Times New Roman" w:hAnsi="Times New Roman" w:cs="Times New Roman"/>
          <w:sz w:val="28"/>
          <w:szCs w:val="28"/>
        </w:rPr>
        <w:t>применения методики</w:t>
      </w:r>
      <w:r w:rsidR="0052604A" w:rsidRPr="007729F2">
        <w:rPr>
          <w:rFonts w:ascii="Times New Roman" w:hAnsi="Times New Roman" w:cs="Times New Roman"/>
          <w:sz w:val="28"/>
          <w:szCs w:val="28"/>
        </w:rPr>
        <w:t>.</w:t>
      </w:r>
      <w:r w:rsidRPr="00772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EC" w:rsidRDefault="003B131D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E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723BF7" w:rsidRPr="00B5399E">
        <w:rPr>
          <w:rFonts w:ascii="Times New Roman" w:hAnsi="Times New Roman" w:cs="Times New Roman"/>
          <w:sz w:val="28"/>
          <w:szCs w:val="28"/>
        </w:rPr>
        <w:t>администратору</w:t>
      </w:r>
      <w:r w:rsidR="00F525D7" w:rsidRPr="00B5399E">
        <w:rPr>
          <w:rFonts w:ascii="Times New Roman" w:hAnsi="Times New Roman" w:cs="Times New Roman"/>
          <w:sz w:val="28"/>
          <w:szCs w:val="28"/>
        </w:rPr>
        <w:t xml:space="preserve"> </w:t>
      </w:r>
      <w:r w:rsidR="00A92186" w:rsidRPr="00B5399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014B5">
        <w:rPr>
          <w:rFonts w:ascii="Times New Roman" w:hAnsi="Times New Roman" w:cs="Times New Roman"/>
          <w:sz w:val="28"/>
          <w:szCs w:val="28"/>
        </w:rPr>
        <w:t xml:space="preserve">не позднее дня вступления в силу </w:t>
      </w:r>
      <w:r w:rsidR="00761BB5" w:rsidRPr="00B5399E">
        <w:rPr>
          <w:rFonts w:ascii="Times New Roman" w:hAnsi="Times New Roman" w:cs="Times New Roman"/>
          <w:sz w:val="28"/>
          <w:szCs w:val="28"/>
        </w:rPr>
        <w:t>раскрывать</w:t>
      </w:r>
      <w:r w:rsidRPr="00B5399E">
        <w:rPr>
          <w:rFonts w:ascii="Times New Roman" w:hAnsi="Times New Roman" w:cs="Times New Roman"/>
          <w:sz w:val="28"/>
          <w:szCs w:val="28"/>
        </w:rPr>
        <w:t xml:space="preserve"> </w:t>
      </w:r>
      <w:r w:rsidR="00761BB5" w:rsidRPr="00B5399E">
        <w:rPr>
          <w:rFonts w:ascii="Times New Roman" w:hAnsi="Times New Roman" w:cs="Times New Roman"/>
          <w:sz w:val="28"/>
          <w:szCs w:val="28"/>
        </w:rPr>
        <w:t>изменения</w:t>
      </w:r>
      <w:r w:rsidR="00390E84" w:rsidRPr="00B5399E">
        <w:rPr>
          <w:rFonts w:ascii="Times New Roman" w:hAnsi="Times New Roman" w:cs="Times New Roman"/>
          <w:sz w:val="28"/>
          <w:szCs w:val="28"/>
        </w:rPr>
        <w:t>, вносимые в методику формирования и расчета индикатора,</w:t>
      </w:r>
      <w:r w:rsidR="00761BB5" w:rsidRPr="00B5399E">
        <w:rPr>
          <w:rFonts w:ascii="Times New Roman" w:hAnsi="Times New Roman" w:cs="Times New Roman"/>
          <w:sz w:val="28"/>
          <w:szCs w:val="28"/>
        </w:rPr>
        <w:t xml:space="preserve"> </w:t>
      </w:r>
      <w:r w:rsidR="001670EC" w:rsidRPr="00B5399E">
        <w:rPr>
          <w:rFonts w:ascii="Times New Roman" w:hAnsi="Times New Roman" w:cs="Times New Roman"/>
          <w:sz w:val="28"/>
          <w:szCs w:val="28"/>
        </w:rPr>
        <w:t xml:space="preserve">с обоснованием </w:t>
      </w:r>
      <w:r w:rsidR="00761BB5" w:rsidRPr="00B5399E">
        <w:rPr>
          <w:rFonts w:ascii="Times New Roman" w:hAnsi="Times New Roman" w:cs="Times New Roman"/>
          <w:sz w:val="28"/>
          <w:szCs w:val="28"/>
        </w:rPr>
        <w:t xml:space="preserve">причин </w:t>
      </w:r>
      <w:r w:rsidR="001670EC" w:rsidRPr="00B5399E">
        <w:rPr>
          <w:rFonts w:ascii="Times New Roman" w:hAnsi="Times New Roman" w:cs="Times New Roman"/>
          <w:sz w:val="28"/>
          <w:szCs w:val="28"/>
        </w:rPr>
        <w:t>их внесения.</w:t>
      </w:r>
    </w:p>
    <w:p w:rsidR="007729F2" w:rsidRPr="00B5399E" w:rsidRDefault="007729F2" w:rsidP="00BB61B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408F" w:rsidRPr="00B5399E" w:rsidRDefault="00B976FF" w:rsidP="00FD0DC1">
      <w:pPr>
        <w:spacing w:before="240" w:after="12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5399E">
        <w:rPr>
          <w:rFonts w:ascii="Times New Roman" w:hAnsi="Times New Roman" w:cs="Times New Roman"/>
          <w:b/>
          <w:sz w:val="28"/>
          <w:szCs w:val="28"/>
        </w:rPr>
        <w:t>4</w:t>
      </w:r>
      <w:r w:rsidR="00BC408F" w:rsidRPr="00B5399E">
        <w:rPr>
          <w:rFonts w:ascii="Times New Roman" w:hAnsi="Times New Roman" w:cs="Times New Roman"/>
          <w:b/>
          <w:sz w:val="28"/>
          <w:szCs w:val="28"/>
        </w:rPr>
        <w:t xml:space="preserve">) Достаточность данных </w:t>
      </w:r>
    </w:p>
    <w:p w:rsidR="00BC408F" w:rsidRPr="00B5399E" w:rsidRDefault="00984A54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E">
        <w:rPr>
          <w:rFonts w:ascii="Times New Roman" w:hAnsi="Times New Roman" w:cs="Times New Roman"/>
          <w:sz w:val="28"/>
          <w:szCs w:val="28"/>
        </w:rPr>
        <w:t>А</w:t>
      </w:r>
      <w:r w:rsidR="00BC408F" w:rsidRPr="00B5399E">
        <w:rPr>
          <w:rFonts w:ascii="Times New Roman" w:hAnsi="Times New Roman" w:cs="Times New Roman"/>
          <w:sz w:val="28"/>
          <w:szCs w:val="28"/>
        </w:rPr>
        <w:t>дминистратор</w:t>
      </w:r>
      <w:r w:rsidR="00782293" w:rsidRPr="00B5399E">
        <w:rPr>
          <w:rFonts w:ascii="Times New Roman" w:hAnsi="Times New Roman" w:cs="Times New Roman"/>
          <w:sz w:val="28"/>
          <w:szCs w:val="28"/>
        </w:rPr>
        <w:t>у необходимо</w:t>
      </w:r>
      <w:r w:rsidR="00BC408F" w:rsidRPr="00B5399E">
        <w:rPr>
          <w:rFonts w:ascii="Times New Roman" w:hAnsi="Times New Roman" w:cs="Times New Roman"/>
          <w:sz w:val="28"/>
          <w:szCs w:val="28"/>
        </w:rPr>
        <w:t xml:space="preserve"> обеспечить достаточность данных, </w:t>
      </w:r>
      <w:r w:rsidR="00EA5C8E" w:rsidRPr="00B5399E">
        <w:rPr>
          <w:rFonts w:ascii="Times New Roman" w:hAnsi="Times New Roman" w:cs="Times New Roman"/>
          <w:sz w:val="28"/>
          <w:szCs w:val="28"/>
        </w:rPr>
        <w:t>используемых</w:t>
      </w:r>
      <w:r w:rsidR="00BC408F" w:rsidRPr="00B5399E">
        <w:rPr>
          <w:rFonts w:ascii="Times New Roman" w:hAnsi="Times New Roman" w:cs="Times New Roman"/>
          <w:sz w:val="28"/>
          <w:szCs w:val="28"/>
        </w:rPr>
        <w:t xml:space="preserve"> для формирования индикатора. В частности, данные должны: </w:t>
      </w:r>
    </w:p>
    <w:p w:rsidR="00BC408F" w:rsidRPr="00E756F7" w:rsidRDefault="00BC408F" w:rsidP="00E756F7">
      <w:pPr>
        <w:pStyle w:val="a3"/>
        <w:numPr>
          <w:ilvl w:val="0"/>
          <w:numId w:val="1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756F7">
        <w:rPr>
          <w:rFonts w:ascii="Times New Roman" w:hAnsi="Times New Roman" w:cs="Times New Roman"/>
          <w:sz w:val="28"/>
          <w:szCs w:val="28"/>
        </w:rPr>
        <w:t xml:space="preserve">основываться на ценах, ставках, индексах или стоимости, которые сформировались под влиянием конкурентных спроса и предложения, что требуется для обеспечения уверенности в надежности определения цен; </w:t>
      </w:r>
    </w:p>
    <w:p w:rsidR="00BC408F" w:rsidRPr="00E756F7" w:rsidRDefault="00BC408F" w:rsidP="00E756F7">
      <w:pPr>
        <w:pStyle w:val="a3"/>
        <w:numPr>
          <w:ilvl w:val="0"/>
          <w:numId w:val="1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756F7">
        <w:rPr>
          <w:rFonts w:ascii="Times New Roman" w:hAnsi="Times New Roman" w:cs="Times New Roman"/>
          <w:sz w:val="28"/>
          <w:szCs w:val="28"/>
        </w:rPr>
        <w:t xml:space="preserve">подтверждаться поддающимися отслеживанию сделками, заключенными на рыночных условиях между покупателями и продавцами на рынке обращения актива, измеряемого индикатором, для обеспечения использования этого индикатора как заслуживающего доверия индикатора цен, ставок, индексов или оценок. </w:t>
      </w:r>
    </w:p>
    <w:p w:rsidR="007729F2" w:rsidRDefault="007729F2" w:rsidP="00BB61B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120C0" w:rsidRPr="00B5399E" w:rsidRDefault="00B976FF" w:rsidP="00FD0DC1">
      <w:pPr>
        <w:spacing w:before="240" w:after="12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5399E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56F67" w:rsidRPr="00B5399E">
        <w:rPr>
          <w:rFonts w:ascii="Times New Roman" w:hAnsi="Times New Roman" w:cs="Times New Roman"/>
          <w:b/>
          <w:sz w:val="28"/>
          <w:szCs w:val="28"/>
        </w:rPr>
        <w:t>)</w:t>
      </w:r>
      <w:r w:rsidR="00E120C0" w:rsidRPr="00B53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B67" w:rsidRPr="00B5399E">
        <w:rPr>
          <w:rFonts w:ascii="Times New Roman" w:hAnsi="Times New Roman" w:cs="Times New Roman"/>
          <w:b/>
          <w:sz w:val="28"/>
          <w:szCs w:val="28"/>
        </w:rPr>
        <w:t>Надежность индикатора</w:t>
      </w:r>
    </w:p>
    <w:p w:rsidR="00D67C0F" w:rsidRPr="00B5399E" w:rsidRDefault="00984A54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E">
        <w:rPr>
          <w:rFonts w:ascii="Times New Roman" w:hAnsi="Times New Roman" w:cs="Times New Roman"/>
          <w:sz w:val="28"/>
          <w:szCs w:val="28"/>
        </w:rPr>
        <w:t>Администратору</w:t>
      </w:r>
      <w:r w:rsidR="008374B5" w:rsidRPr="00B5399E">
        <w:rPr>
          <w:rFonts w:ascii="Times New Roman" w:hAnsi="Times New Roman" w:cs="Times New Roman"/>
          <w:sz w:val="28"/>
          <w:szCs w:val="28"/>
        </w:rPr>
        <w:t xml:space="preserve"> </w:t>
      </w:r>
      <w:r w:rsidR="00D67C0F" w:rsidRPr="00B5399E">
        <w:rPr>
          <w:rFonts w:ascii="Times New Roman" w:hAnsi="Times New Roman" w:cs="Times New Roman"/>
          <w:sz w:val="28"/>
          <w:szCs w:val="28"/>
        </w:rPr>
        <w:t xml:space="preserve">при формировании индикатора </w:t>
      </w:r>
      <w:r w:rsidR="008374B5" w:rsidRPr="00B5399E">
        <w:rPr>
          <w:rFonts w:ascii="Times New Roman" w:hAnsi="Times New Roman" w:cs="Times New Roman"/>
          <w:sz w:val="28"/>
          <w:szCs w:val="28"/>
        </w:rPr>
        <w:t>необходимо</w:t>
      </w:r>
      <w:r w:rsidR="00D67C0F" w:rsidRPr="00B5399E">
        <w:rPr>
          <w:rFonts w:ascii="Times New Roman" w:hAnsi="Times New Roman" w:cs="Times New Roman"/>
          <w:sz w:val="28"/>
          <w:szCs w:val="28"/>
        </w:rPr>
        <w:t xml:space="preserve"> обеспечивать точное и надежное представление реальных экономических параметров измеряемого им актива и устранять факторы, которые могут исказить цену, ставку, индекс или оценку, выраженные индикатором.</w:t>
      </w:r>
    </w:p>
    <w:p w:rsidR="00D67C0F" w:rsidRPr="00B5399E" w:rsidRDefault="00D67C0F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E">
        <w:rPr>
          <w:rFonts w:ascii="Times New Roman" w:hAnsi="Times New Roman" w:cs="Times New Roman"/>
          <w:sz w:val="28"/>
          <w:szCs w:val="28"/>
        </w:rPr>
        <w:t>Структура индикатора должна учитывать следующие общие, неспецифические характеристики, при этом также должны учитываться иные характеристики, в зависимости от конкретного актива:</w:t>
      </w:r>
    </w:p>
    <w:p w:rsidR="00D67C0F" w:rsidRPr="007729F2" w:rsidRDefault="00D67C0F" w:rsidP="00E756F7">
      <w:pPr>
        <w:pStyle w:val="a3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729F2">
        <w:rPr>
          <w:rFonts w:ascii="Times New Roman" w:hAnsi="Times New Roman" w:cs="Times New Roman"/>
          <w:sz w:val="28"/>
          <w:szCs w:val="28"/>
        </w:rPr>
        <w:t xml:space="preserve">достаточность статистической выборки, используемой для расчета индикатора; </w:t>
      </w:r>
    </w:p>
    <w:p w:rsidR="00D67C0F" w:rsidRPr="007729F2" w:rsidRDefault="00D67C0F" w:rsidP="00E756F7">
      <w:pPr>
        <w:pStyle w:val="a3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729F2">
        <w:rPr>
          <w:rFonts w:ascii="Times New Roman" w:hAnsi="Times New Roman" w:cs="Times New Roman"/>
          <w:sz w:val="28"/>
          <w:szCs w:val="28"/>
        </w:rPr>
        <w:t xml:space="preserve">размер и ликвидность соответствующего рынка (например, наличие достаточного объема торгов для обеспечения прозрачного, поддающегося отслеживанию ценообразования); </w:t>
      </w:r>
    </w:p>
    <w:p w:rsidR="00D67C0F" w:rsidRPr="007729F2" w:rsidRDefault="00D67C0F" w:rsidP="00E756F7">
      <w:pPr>
        <w:pStyle w:val="a3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729F2">
        <w:rPr>
          <w:rFonts w:ascii="Times New Roman" w:hAnsi="Times New Roman" w:cs="Times New Roman"/>
          <w:sz w:val="28"/>
          <w:szCs w:val="28"/>
        </w:rPr>
        <w:t xml:space="preserve">относительный размер базового рынка по сравнению с объемом торгов на рынке, ссылающемся на индикатор; </w:t>
      </w:r>
    </w:p>
    <w:p w:rsidR="00D67C0F" w:rsidRPr="007729F2" w:rsidRDefault="00D67C0F" w:rsidP="00E756F7">
      <w:pPr>
        <w:pStyle w:val="a3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729F2">
        <w:rPr>
          <w:rFonts w:ascii="Times New Roman" w:hAnsi="Times New Roman" w:cs="Times New Roman"/>
          <w:sz w:val="28"/>
          <w:szCs w:val="28"/>
        </w:rPr>
        <w:t xml:space="preserve">распределение объема торгов между участниками рынка (рыночная концентрация); </w:t>
      </w:r>
    </w:p>
    <w:p w:rsidR="00D67C0F" w:rsidRDefault="00D67C0F" w:rsidP="00E756F7">
      <w:pPr>
        <w:pStyle w:val="a3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729F2">
        <w:rPr>
          <w:rFonts w:ascii="Times New Roman" w:hAnsi="Times New Roman" w:cs="Times New Roman"/>
          <w:sz w:val="28"/>
          <w:szCs w:val="28"/>
        </w:rPr>
        <w:t>рыночная динамика (например, для обеспечения отражения индикатором изменений в активах, лежащих в основе расчета индикатора).</w:t>
      </w:r>
    </w:p>
    <w:p w:rsidR="007729F2" w:rsidRPr="007729F2" w:rsidRDefault="007729F2" w:rsidP="007729F2">
      <w:pPr>
        <w:spacing w:after="0" w:line="360" w:lineRule="auto"/>
        <w:ind w:left="414"/>
        <w:rPr>
          <w:rFonts w:ascii="Times New Roman" w:hAnsi="Times New Roman" w:cs="Times New Roman"/>
          <w:sz w:val="28"/>
          <w:szCs w:val="28"/>
        </w:rPr>
      </w:pPr>
    </w:p>
    <w:p w:rsidR="00D603F2" w:rsidRPr="00D603F2" w:rsidRDefault="00BB61B0" w:rsidP="007729F2">
      <w:pPr>
        <w:spacing w:before="240" w:after="120" w:line="36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603F2" w:rsidRPr="00D603F2">
        <w:rPr>
          <w:rFonts w:ascii="Times New Roman" w:hAnsi="Times New Roman" w:cs="Times New Roman"/>
          <w:b/>
          <w:sz w:val="28"/>
          <w:szCs w:val="28"/>
        </w:rPr>
        <w:t>) Соблюдение прав инвесторов при наступлении</w:t>
      </w:r>
      <w:r w:rsidR="007729F2">
        <w:rPr>
          <w:rFonts w:ascii="Times New Roman" w:hAnsi="Times New Roman" w:cs="Times New Roman"/>
          <w:b/>
          <w:sz w:val="28"/>
          <w:szCs w:val="28"/>
        </w:rPr>
        <w:br/>
      </w:r>
      <w:r w:rsidR="00D603F2" w:rsidRPr="00D603F2">
        <w:rPr>
          <w:rFonts w:ascii="Times New Roman" w:hAnsi="Times New Roman" w:cs="Times New Roman"/>
          <w:b/>
          <w:sz w:val="28"/>
          <w:szCs w:val="28"/>
        </w:rPr>
        <w:t>непредвиденных обстоятельств</w:t>
      </w:r>
    </w:p>
    <w:p w:rsidR="00D603F2" w:rsidRDefault="00D603F2" w:rsidP="00E756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3F2">
        <w:rPr>
          <w:rFonts w:ascii="Times New Roman" w:hAnsi="Times New Roman" w:cs="Times New Roman"/>
          <w:sz w:val="28"/>
          <w:szCs w:val="28"/>
        </w:rPr>
        <w:t xml:space="preserve">Управляющая компания ПИФ, ориентированного на индикатор, до момента начала формирования такого ПИФ </w:t>
      </w:r>
      <w:r w:rsidR="00797633">
        <w:rPr>
          <w:rFonts w:ascii="Times New Roman" w:hAnsi="Times New Roman" w:cs="Times New Roman"/>
          <w:sz w:val="28"/>
          <w:szCs w:val="28"/>
        </w:rPr>
        <w:t xml:space="preserve">(вступления в силу изменений и дополнений в правила доверительного управления ПИФ, </w:t>
      </w:r>
      <w:r w:rsidR="0050414D">
        <w:rPr>
          <w:rFonts w:ascii="Times New Roman" w:hAnsi="Times New Roman" w:cs="Times New Roman"/>
          <w:sz w:val="28"/>
          <w:szCs w:val="28"/>
        </w:rPr>
        <w:t xml:space="preserve">устанавливающих </w:t>
      </w:r>
      <w:r w:rsidR="00797633">
        <w:rPr>
          <w:rFonts w:ascii="Times New Roman" w:hAnsi="Times New Roman" w:cs="Times New Roman"/>
          <w:sz w:val="28"/>
          <w:szCs w:val="28"/>
        </w:rPr>
        <w:t xml:space="preserve">использование индикатора) </w:t>
      </w:r>
      <w:r w:rsidRPr="00D603F2">
        <w:rPr>
          <w:rFonts w:ascii="Times New Roman" w:hAnsi="Times New Roman" w:cs="Times New Roman"/>
          <w:sz w:val="28"/>
          <w:szCs w:val="28"/>
        </w:rPr>
        <w:t xml:space="preserve">должна разработать и обеспечить раскрытие внутреннего документа, содержащего информацию о процедурах и порядке </w:t>
      </w:r>
      <w:r w:rsidRPr="00D603F2">
        <w:rPr>
          <w:rFonts w:ascii="Times New Roman" w:hAnsi="Times New Roman" w:cs="Times New Roman"/>
          <w:sz w:val="28"/>
          <w:szCs w:val="28"/>
        </w:rPr>
        <w:lastRenderedPageBreak/>
        <w:t xml:space="preserve">действий </w:t>
      </w:r>
      <w:r w:rsidR="004301B3">
        <w:rPr>
          <w:rFonts w:ascii="Times New Roman" w:hAnsi="Times New Roman" w:cs="Times New Roman"/>
          <w:sz w:val="28"/>
          <w:szCs w:val="28"/>
        </w:rPr>
        <w:t>у</w:t>
      </w:r>
      <w:r w:rsidR="004301B3" w:rsidRPr="00D603F2">
        <w:rPr>
          <w:rFonts w:ascii="Times New Roman" w:hAnsi="Times New Roman" w:cs="Times New Roman"/>
          <w:sz w:val="28"/>
          <w:szCs w:val="28"/>
        </w:rPr>
        <w:t xml:space="preserve">правляющей </w:t>
      </w:r>
      <w:r w:rsidRPr="00D603F2">
        <w:rPr>
          <w:rFonts w:ascii="Times New Roman" w:hAnsi="Times New Roman" w:cs="Times New Roman"/>
          <w:sz w:val="28"/>
          <w:szCs w:val="28"/>
        </w:rPr>
        <w:t>компании, направленных на защиту прав инвесторов в случае возможного прекращения расчета и публикации индикатора или несоответствия администратора принципам настоящег</w:t>
      </w:r>
      <w:r w:rsidR="00797633">
        <w:rPr>
          <w:rFonts w:ascii="Times New Roman" w:hAnsi="Times New Roman" w:cs="Times New Roman"/>
          <w:sz w:val="28"/>
          <w:szCs w:val="28"/>
        </w:rPr>
        <w:t>о Внутреннего стандарта.</w:t>
      </w:r>
    </w:p>
    <w:p w:rsidR="007729F2" w:rsidRPr="00D603F2" w:rsidRDefault="007729F2" w:rsidP="00BB61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603F2" w:rsidRPr="00D603F2" w:rsidRDefault="00BB61B0" w:rsidP="00FD0DC1">
      <w:pPr>
        <w:spacing w:before="240" w:after="12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603F2" w:rsidRPr="00D603F2">
        <w:rPr>
          <w:rFonts w:ascii="Times New Roman" w:hAnsi="Times New Roman" w:cs="Times New Roman"/>
          <w:b/>
          <w:sz w:val="28"/>
          <w:szCs w:val="28"/>
        </w:rPr>
        <w:t xml:space="preserve">) Проверка соблюдения методики </w:t>
      </w:r>
    </w:p>
    <w:p w:rsidR="00D603F2" w:rsidRPr="00D603F2" w:rsidRDefault="00D603F2" w:rsidP="00E756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3F2">
        <w:rPr>
          <w:rFonts w:ascii="Times New Roman" w:hAnsi="Times New Roman" w:cs="Times New Roman"/>
          <w:sz w:val="28"/>
          <w:szCs w:val="28"/>
        </w:rPr>
        <w:t xml:space="preserve">Управляющей компании до создания ПИФ, ориентированного на индикатор, необходимо выбрать независимого внутреннего исполнителя (подразделение) или внешнюю организацию, имеющих необходимую квалификацию, для проведения проверки на предмет соблюдения администратором заявленной методики и опубликовать отчет о ее проведении. </w:t>
      </w:r>
    </w:p>
    <w:p w:rsidR="007729F2" w:rsidRDefault="00D603F2" w:rsidP="00E756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3F2">
        <w:rPr>
          <w:rFonts w:ascii="Times New Roman" w:hAnsi="Times New Roman" w:cs="Times New Roman"/>
          <w:sz w:val="28"/>
          <w:szCs w:val="28"/>
        </w:rPr>
        <w:t>Частота проверок и степень независимости лиц, осуществляющих такие проверки, должны быть пропорциональны размеру и сложности деятельности администратора, а также масштабу использования индикатора.</w:t>
      </w:r>
    </w:p>
    <w:p w:rsidR="00F25BB9" w:rsidRPr="00B5399E" w:rsidRDefault="00F25BB9" w:rsidP="00BB61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C0" w:rsidRPr="00B5399E" w:rsidRDefault="00B976FF" w:rsidP="00FD0DC1">
      <w:pPr>
        <w:spacing w:before="240" w:after="12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5399E">
        <w:rPr>
          <w:rFonts w:ascii="Times New Roman" w:hAnsi="Times New Roman" w:cs="Times New Roman"/>
          <w:b/>
          <w:sz w:val="28"/>
          <w:szCs w:val="28"/>
        </w:rPr>
        <w:t>8</w:t>
      </w:r>
      <w:r w:rsidR="00943E5C" w:rsidRPr="00B5399E">
        <w:rPr>
          <w:rFonts w:ascii="Times New Roman" w:hAnsi="Times New Roman" w:cs="Times New Roman"/>
          <w:b/>
          <w:sz w:val="28"/>
          <w:szCs w:val="28"/>
        </w:rPr>
        <w:t>)</w:t>
      </w:r>
      <w:r w:rsidR="00886A0B" w:rsidRPr="00B53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5DA" w:rsidRPr="00B5399E">
        <w:rPr>
          <w:rFonts w:ascii="Times New Roman" w:hAnsi="Times New Roman" w:cs="Times New Roman"/>
          <w:b/>
          <w:sz w:val="28"/>
          <w:szCs w:val="28"/>
        </w:rPr>
        <w:t>Сохранность</w:t>
      </w:r>
      <w:r w:rsidR="00E120C0" w:rsidRPr="00B53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5DA" w:rsidRPr="00B5399E"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BD437B" w:rsidRPr="00B5399E" w:rsidRDefault="001C45DA" w:rsidP="00E756F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99E">
        <w:rPr>
          <w:rFonts w:ascii="Times New Roman" w:hAnsi="Times New Roman" w:cs="Times New Roman"/>
          <w:sz w:val="28"/>
          <w:szCs w:val="28"/>
        </w:rPr>
        <w:t xml:space="preserve">Вся информация в отношении </w:t>
      </w:r>
      <w:r w:rsidR="001670EC" w:rsidRPr="00B5399E">
        <w:rPr>
          <w:rFonts w:ascii="Times New Roman" w:hAnsi="Times New Roman" w:cs="Times New Roman"/>
          <w:sz w:val="28"/>
          <w:szCs w:val="28"/>
        </w:rPr>
        <w:t xml:space="preserve">используемого </w:t>
      </w:r>
      <w:r w:rsidRPr="00B5399E">
        <w:rPr>
          <w:rFonts w:ascii="Times New Roman" w:hAnsi="Times New Roman" w:cs="Times New Roman"/>
          <w:sz w:val="28"/>
          <w:szCs w:val="28"/>
        </w:rPr>
        <w:t xml:space="preserve">индикатора должна храниться в </w:t>
      </w:r>
      <w:r w:rsidR="004301B3">
        <w:rPr>
          <w:rFonts w:ascii="Times New Roman" w:hAnsi="Times New Roman" w:cs="Times New Roman"/>
          <w:sz w:val="28"/>
          <w:szCs w:val="28"/>
        </w:rPr>
        <w:t>у</w:t>
      </w:r>
      <w:r w:rsidR="004301B3" w:rsidRPr="00B5399E">
        <w:rPr>
          <w:rFonts w:ascii="Times New Roman" w:hAnsi="Times New Roman" w:cs="Times New Roman"/>
          <w:sz w:val="28"/>
          <w:szCs w:val="28"/>
        </w:rPr>
        <w:t xml:space="preserve">правляющей </w:t>
      </w:r>
      <w:r w:rsidR="00BD437B" w:rsidRPr="00B5399E">
        <w:rPr>
          <w:rFonts w:ascii="Times New Roman" w:hAnsi="Times New Roman" w:cs="Times New Roman"/>
          <w:sz w:val="28"/>
          <w:szCs w:val="28"/>
        </w:rPr>
        <w:t>компании не менее пяти лет, в том числе информация, полученная от иного лица, выполняющего функци</w:t>
      </w:r>
      <w:r w:rsidR="00C238DD" w:rsidRPr="00B5399E">
        <w:rPr>
          <w:rFonts w:ascii="Times New Roman" w:hAnsi="Times New Roman" w:cs="Times New Roman"/>
          <w:sz w:val="28"/>
          <w:szCs w:val="28"/>
        </w:rPr>
        <w:t>и</w:t>
      </w:r>
      <w:r w:rsidR="00BD437B" w:rsidRPr="00B5399E">
        <w:rPr>
          <w:rFonts w:ascii="Times New Roman" w:hAnsi="Times New Roman" w:cs="Times New Roman"/>
          <w:sz w:val="28"/>
          <w:szCs w:val="28"/>
        </w:rPr>
        <w:t xml:space="preserve"> администратора индикатора.</w:t>
      </w:r>
    </w:p>
    <w:sectPr w:rsidR="00BD437B" w:rsidRPr="00B5399E" w:rsidSect="00E93E0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53F" w:rsidRDefault="006E053F" w:rsidP="00711B81">
      <w:pPr>
        <w:spacing w:after="0" w:line="240" w:lineRule="auto"/>
      </w:pPr>
      <w:r>
        <w:separator/>
      </w:r>
    </w:p>
  </w:endnote>
  <w:endnote w:type="continuationSeparator" w:id="0">
    <w:p w:rsidR="006E053F" w:rsidRDefault="006E053F" w:rsidP="0071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6189056"/>
      <w:docPartObj>
        <w:docPartGallery w:val="Page Numbers (Bottom of Page)"/>
        <w:docPartUnique/>
      </w:docPartObj>
    </w:sdtPr>
    <w:sdtEndPr/>
    <w:sdtContent>
      <w:p w:rsidR="001355E6" w:rsidRDefault="001355E6">
        <w:pPr>
          <w:pStyle w:val="af1"/>
          <w:jc w:val="right"/>
        </w:pPr>
      </w:p>
      <w:p w:rsidR="001355E6" w:rsidRDefault="006E053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6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5E6" w:rsidRDefault="001355E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53F" w:rsidRDefault="006E053F" w:rsidP="00711B81">
      <w:pPr>
        <w:spacing w:after="0" w:line="240" w:lineRule="auto"/>
      </w:pPr>
      <w:r>
        <w:separator/>
      </w:r>
    </w:p>
  </w:footnote>
  <w:footnote w:type="continuationSeparator" w:id="0">
    <w:p w:rsidR="006E053F" w:rsidRDefault="006E053F" w:rsidP="00711B81">
      <w:pPr>
        <w:spacing w:after="0" w:line="240" w:lineRule="auto"/>
      </w:pPr>
      <w:r>
        <w:continuationSeparator/>
      </w:r>
    </w:p>
  </w:footnote>
  <w:footnote w:id="1">
    <w:p w:rsidR="00D603F2" w:rsidRPr="00B747E9" w:rsidRDefault="00D603F2" w:rsidP="00D603F2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="007729F2">
        <w:t xml:space="preserve"> </w:t>
      </w:r>
      <w:r w:rsidR="00575130">
        <w:rPr>
          <w:rFonts w:ascii="Times New Roman" w:hAnsi="Times New Roman" w:cs="Times New Roman"/>
        </w:rPr>
        <w:t>Паевые инвестиционные фонды,</w:t>
      </w:r>
      <w:r w:rsidRPr="00D603F2">
        <w:rPr>
          <w:rFonts w:ascii="Times New Roman" w:hAnsi="Times New Roman" w:cs="Times New Roman"/>
        </w:rPr>
        <w:t xml:space="preserve"> инвестиционной декларацией котор</w:t>
      </w:r>
      <w:r w:rsidR="00575130">
        <w:rPr>
          <w:rFonts w:ascii="Times New Roman" w:hAnsi="Times New Roman" w:cs="Times New Roman"/>
        </w:rPr>
        <w:t>ых</w:t>
      </w:r>
      <w:r w:rsidRPr="00D603F2">
        <w:rPr>
          <w:rFonts w:ascii="Times New Roman" w:hAnsi="Times New Roman" w:cs="Times New Roman"/>
        </w:rPr>
        <w:t xml:space="preserve"> предусмотрено следование доходности </w:t>
      </w:r>
      <w:r w:rsidR="00575130">
        <w:rPr>
          <w:rFonts w:ascii="Times New Roman" w:hAnsi="Times New Roman" w:cs="Times New Roman"/>
        </w:rPr>
        <w:t>фонда</w:t>
      </w:r>
      <w:r w:rsidR="00575130" w:rsidRPr="00D603F2">
        <w:rPr>
          <w:rFonts w:ascii="Times New Roman" w:hAnsi="Times New Roman" w:cs="Times New Roman"/>
        </w:rPr>
        <w:t xml:space="preserve"> </w:t>
      </w:r>
      <w:r w:rsidRPr="00D603F2">
        <w:rPr>
          <w:rFonts w:ascii="Times New Roman" w:hAnsi="Times New Roman" w:cs="Times New Roman"/>
        </w:rPr>
        <w:t>и</w:t>
      </w:r>
      <w:r w:rsidR="00A06A43" w:rsidRPr="00A06A43">
        <w:rPr>
          <w:rFonts w:ascii="Times New Roman" w:hAnsi="Times New Roman" w:cs="Times New Roman"/>
        </w:rPr>
        <w:t>/</w:t>
      </w:r>
      <w:r w:rsidRPr="00D603F2">
        <w:rPr>
          <w:rFonts w:ascii="Times New Roman" w:hAnsi="Times New Roman" w:cs="Times New Roman"/>
        </w:rPr>
        <w:t>или соответствие состава и структуры активов ПИФ индикатору (индексу)</w:t>
      </w:r>
      <w:r>
        <w:rPr>
          <w:rFonts w:ascii="Times New Roman" w:hAnsi="Times New Roman" w:cs="Times New Roman"/>
        </w:rPr>
        <w:t>.</w:t>
      </w:r>
    </w:p>
  </w:footnote>
  <w:footnote w:id="2">
    <w:p w:rsidR="00711B81" w:rsidRDefault="00711B81" w:rsidP="007E5C6D">
      <w:pPr>
        <w:pStyle w:val="a4"/>
        <w:jc w:val="both"/>
      </w:pPr>
      <w:r>
        <w:rPr>
          <w:rStyle w:val="a6"/>
        </w:rPr>
        <w:footnoteRef/>
      </w:r>
      <w:r w:rsidR="007729F2">
        <w:rPr>
          <w:rFonts w:ascii="Times New Roman" w:hAnsi="Times New Roman" w:cs="Times New Roman"/>
        </w:rPr>
        <w:t xml:space="preserve"> </w:t>
      </w:r>
      <w:r w:rsidRPr="00B747E9">
        <w:rPr>
          <w:rFonts w:ascii="Times New Roman" w:hAnsi="Times New Roman" w:cs="Times New Roman"/>
        </w:rPr>
        <w:t>Деятельность управляющей компании</w:t>
      </w:r>
      <w:r w:rsidR="004014B5">
        <w:rPr>
          <w:rFonts w:ascii="Times New Roman" w:hAnsi="Times New Roman" w:cs="Times New Roman"/>
        </w:rPr>
        <w:t xml:space="preserve"> </w:t>
      </w:r>
      <w:r w:rsidR="00A04155">
        <w:rPr>
          <w:rFonts w:ascii="Times New Roman" w:hAnsi="Times New Roman" w:cs="Times New Roman"/>
        </w:rPr>
        <w:t>открытых</w:t>
      </w:r>
      <w:r w:rsidRPr="00B747E9">
        <w:rPr>
          <w:rFonts w:ascii="Times New Roman" w:hAnsi="Times New Roman" w:cs="Times New Roman"/>
        </w:rPr>
        <w:t>,</w:t>
      </w:r>
      <w:r w:rsidR="00A04155">
        <w:rPr>
          <w:rFonts w:ascii="Times New Roman" w:hAnsi="Times New Roman" w:cs="Times New Roman"/>
        </w:rPr>
        <w:t xml:space="preserve"> биржевых, интервальных фондов,</w:t>
      </w:r>
      <w:r w:rsidRPr="00B747E9">
        <w:rPr>
          <w:rFonts w:ascii="Times New Roman" w:hAnsi="Times New Roman" w:cs="Times New Roman"/>
        </w:rPr>
        <w:t xml:space="preserve"> правила доверительного управления</w:t>
      </w:r>
      <w:r w:rsidR="004014B5">
        <w:rPr>
          <w:rFonts w:ascii="Times New Roman" w:hAnsi="Times New Roman" w:cs="Times New Roman"/>
        </w:rPr>
        <w:t xml:space="preserve"> </w:t>
      </w:r>
      <w:r w:rsidR="00A04155">
        <w:rPr>
          <w:rFonts w:ascii="Times New Roman" w:hAnsi="Times New Roman" w:cs="Times New Roman"/>
        </w:rPr>
        <w:t>(</w:t>
      </w:r>
      <w:r w:rsidR="004014B5" w:rsidRPr="004014B5">
        <w:rPr>
          <w:rFonts w:ascii="Times New Roman" w:hAnsi="Times New Roman" w:cs="Times New Roman"/>
        </w:rPr>
        <w:t>изменения и дополнения в них, устанавливающие использование индикатора</w:t>
      </w:r>
      <w:r w:rsidR="00A04155">
        <w:rPr>
          <w:rFonts w:ascii="Times New Roman" w:hAnsi="Times New Roman" w:cs="Times New Roman"/>
        </w:rPr>
        <w:t xml:space="preserve">) </w:t>
      </w:r>
      <w:r w:rsidR="00D603F2">
        <w:rPr>
          <w:rFonts w:ascii="Times New Roman" w:hAnsi="Times New Roman" w:cs="Times New Roman"/>
        </w:rPr>
        <w:t>которыми</w:t>
      </w:r>
      <w:r w:rsidRPr="00B747E9">
        <w:rPr>
          <w:rFonts w:ascii="Times New Roman" w:hAnsi="Times New Roman" w:cs="Times New Roman"/>
        </w:rPr>
        <w:t xml:space="preserve"> зарегистрированы ранее даты вступления в силу настоящего Внутреннего стандарта, должна быть приведена в соответствие с требованиями Внутреннего стандарта не позднее </w:t>
      </w:r>
      <w:r w:rsidR="00575130">
        <w:rPr>
          <w:rFonts w:ascii="Times New Roman" w:hAnsi="Times New Roman" w:cs="Times New Roman"/>
        </w:rPr>
        <w:t>двух</w:t>
      </w:r>
      <w:r w:rsidR="004014B5">
        <w:rPr>
          <w:rFonts w:ascii="Times New Roman" w:hAnsi="Times New Roman" w:cs="Times New Roman"/>
        </w:rPr>
        <w:t xml:space="preserve"> </w:t>
      </w:r>
      <w:r w:rsidR="00D603F2">
        <w:rPr>
          <w:rFonts w:ascii="Times New Roman" w:hAnsi="Times New Roman" w:cs="Times New Roman"/>
        </w:rPr>
        <w:t xml:space="preserve">лет </w:t>
      </w:r>
      <w:r w:rsidRPr="00B747E9">
        <w:rPr>
          <w:rFonts w:ascii="Times New Roman" w:hAnsi="Times New Roman" w:cs="Times New Roman"/>
        </w:rPr>
        <w:t>с даты его вступления в силу.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E09" w:rsidRDefault="00E93E09">
    <w:pPr>
      <w:pStyle w:val="af"/>
      <w:jc w:val="center"/>
    </w:pPr>
  </w:p>
  <w:p w:rsidR="00FA1C39" w:rsidRDefault="00FA1C3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4AC" w:rsidRPr="002446D9" w:rsidRDefault="00D374AC" w:rsidP="00D374AC">
    <w:pPr>
      <w:pStyle w:val="af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8F6"/>
    <w:multiLevelType w:val="hybridMultilevel"/>
    <w:tmpl w:val="F2C86292"/>
    <w:lvl w:ilvl="0" w:tplc="C3680F78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EBE0F78"/>
    <w:multiLevelType w:val="hybridMultilevel"/>
    <w:tmpl w:val="DDB616FC"/>
    <w:lvl w:ilvl="0" w:tplc="FA5C59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184F17"/>
    <w:multiLevelType w:val="hybridMultilevel"/>
    <w:tmpl w:val="3EFCD2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D8302B3"/>
    <w:multiLevelType w:val="hybridMultilevel"/>
    <w:tmpl w:val="B6C8C9FC"/>
    <w:lvl w:ilvl="0" w:tplc="F448F06A">
      <w:numFmt w:val="bullet"/>
      <w:lvlText w:val="•"/>
      <w:lvlJc w:val="left"/>
      <w:pPr>
        <w:ind w:left="1916" w:hanging="10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6795AEA"/>
    <w:multiLevelType w:val="hybridMultilevel"/>
    <w:tmpl w:val="17DA54AA"/>
    <w:lvl w:ilvl="0" w:tplc="35102ED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C052CDF"/>
    <w:multiLevelType w:val="hybridMultilevel"/>
    <w:tmpl w:val="290C0604"/>
    <w:lvl w:ilvl="0" w:tplc="5992A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DDE70F8"/>
    <w:multiLevelType w:val="hybridMultilevel"/>
    <w:tmpl w:val="2D2679FE"/>
    <w:lvl w:ilvl="0" w:tplc="0150AAE8">
      <w:numFmt w:val="bullet"/>
      <w:lvlText w:val="•"/>
      <w:lvlJc w:val="left"/>
      <w:pPr>
        <w:ind w:left="1856" w:hanging="10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4FE5752"/>
    <w:multiLevelType w:val="hybridMultilevel"/>
    <w:tmpl w:val="23CCC5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BAF0A7B"/>
    <w:multiLevelType w:val="hybridMultilevel"/>
    <w:tmpl w:val="9C34ED84"/>
    <w:lvl w:ilvl="0" w:tplc="35102ED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5BF18E8"/>
    <w:multiLevelType w:val="hybridMultilevel"/>
    <w:tmpl w:val="60868370"/>
    <w:lvl w:ilvl="0" w:tplc="35102ED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97B6A06"/>
    <w:multiLevelType w:val="hybridMultilevel"/>
    <w:tmpl w:val="C4603F8C"/>
    <w:lvl w:ilvl="0" w:tplc="C55A8A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A201CD4"/>
    <w:multiLevelType w:val="hybridMultilevel"/>
    <w:tmpl w:val="B4C0B79A"/>
    <w:lvl w:ilvl="0" w:tplc="A5EA6A40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89778CE"/>
    <w:multiLevelType w:val="hybridMultilevel"/>
    <w:tmpl w:val="8622441E"/>
    <w:lvl w:ilvl="0" w:tplc="96EA3D84">
      <w:numFmt w:val="bullet"/>
      <w:lvlText w:val="•"/>
      <w:lvlJc w:val="left"/>
      <w:pPr>
        <w:ind w:left="1856" w:hanging="10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A2659F3"/>
    <w:multiLevelType w:val="hybridMultilevel"/>
    <w:tmpl w:val="143239FE"/>
    <w:lvl w:ilvl="0" w:tplc="35102ED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645BC"/>
    <w:multiLevelType w:val="hybridMultilevel"/>
    <w:tmpl w:val="9BF0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27"/>
    <w:rsid w:val="000152E3"/>
    <w:rsid w:val="0002119B"/>
    <w:rsid w:val="0003070A"/>
    <w:rsid w:val="00047245"/>
    <w:rsid w:val="0005466C"/>
    <w:rsid w:val="00057401"/>
    <w:rsid w:val="00065CF3"/>
    <w:rsid w:val="00073B27"/>
    <w:rsid w:val="00081CDF"/>
    <w:rsid w:val="000931C0"/>
    <w:rsid w:val="000A081D"/>
    <w:rsid w:val="000B5DAD"/>
    <w:rsid w:val="000B606D"/>
    <w:rsid w:val="000D0222"/>
    <w:rsid w:val="000D2411"/>
    <w:rsid w:val="000D3672"/>
    <w:rsid w:val="000E118E"/>
    <w:rsid w:val="000E7BCE"/>
    <w:rsid w:val="000F5378"/>
    <w:rsid w:val="00131E08"/>
    <w:rsid w:val="001355E6"/>
    <w:rsid w:val="001414A3"/>
    <w:rsid w:val="001562D0"/>
    <w:rsid w:val="00156D96"/>
    <w:rsid w:val="0016499C"/>
    <w:rsid w:val="001670EC"/>
    <w:rsid w:val="00180543"/>
    <w:rsid w:val="00192BB4"/>
    <w:rsid w:val="00196D49"/>
    <w:rsid w:val="00197E6E"/>
    <w:rsid w:val="001A73F5"/>
    <w:rsid w:val="001B38C4"/>
    <w:rsid w:val="001C45DA"/>
    <w:rsid w:val="001F08C7"/>
    <w:rsid w:val="002149E3"/>
    <w:rsid w:val="00215597"/>
    <w:rsid w:val="00216DAD"/>
    <w:rsid w:val="002446D9"/>
    <w:rsid w:val="002514DA"/>
    <w:rsid w:val="00254EC8"/>
    <w:rsid w:val="0028554D"/>
    <w:rsid w:val="002917F1"/>
    <w:rsid w:val="00296854"/>
    <w:rsid w:val="002A3F4A"/>
    <w:rsid w:val="002B496F"/>
    <w:rsid w:val="002B67B5"/>
    <w:rsid w:val="002C179A"/>
    <w:rsid w:val="002C348F"/>
    <w:rsid w:val="002F30E0"/>
    <w:rsid w:val="002F58EB"/>
    <w:rsid w:val="00302A05"/>
    <w:rsid w:val="00304A3F"/>
    <w:rsid w:val="00313AF7"/>
    <w:rsid w:val="00334C8D"/>
    <w:rsid w:val="00337BD3"/>
    <w:rsid w:val="00347FE4"/>
    <w:rsid w:val="00356F67"/>
    <w:rsid w:val="00386649"/>
    <w:rsid w:val="00390E84"/>
    <w:rsid w:val="003B131D"/>
    <w:rsid w:val="003C6948"/>
    <w:rsid w:val="003C7BFF"/>
    <w:rsid w:val="003D077E"/>
    <w:rsid w:val="003D24B6"/>
    <w:rsid w:val="003E01C2"/>
    <w:rsid w:val="003E070B"/>
    <w:rsid w:val="003E6550"/>
    <w:rsid w:val="003F20DA"/>
    <w:rsid w:val="004014B5"/>
    <w:rsid w:val="004301B3"/>
    <w:rsid w:val="00467B67"/>
    <w:rsid w:val="00470ED6"/>
    <w:rsid w:val="004746D4"/>
    <w:rsid w:val="00482E1C"/>
    <w:rsid w:val="004A5AEF"/>
    <w:rsid w:val="004B682A"/>
    <w:rsid w:val="005005CF"/>
    <w:rsid w:val="00501B20"/>
    <w:rsid w:val="0050414D"/>
    <w:rsid w:val="00507BE4"/>
    <w:rsid w:val="00513C22"/>
    <w:rsid w:val="0052604A"/>
    <w:rsid w:val="0052710C"/>
    <w:rsid w:val="00550518"/>
    <w:rsid w:val="00563FC1"/>
    <w:rsid w:val="00575130"/>
    <w:rsid w:val="005B34C8"/>
    <w:rsid w:val="005C077B"/>
    <w:rsid w:val="005C6964"/>
    <w:rsid w:val="005C7EB8"/>
    <w:rsid w:val="005F0083"/>
    <w:rsid w:val="005F4CF6"/>
    <w:rsid w:val="005F758E"/>
    <w:rsid w:val="006054C1"/>
    <w:rsid w:val="00605552"/>
    <w:rsid w:val="006452D4"/>
    <w:rsid w:val="00657165"/>
    <w:rsid w:val="0069794E"/>
    <w:rsid w:val="006E053F"/>
    <w:rsid w:val="006F48DD"/>
    <w:rsid w:val="00711B81"/>
    <w:rsid w:val="00720F35"/>
    <w:rsid w:val="00723BF7"/>
    <w:rsid w:val="00725A6B"/>
    <w:rsid w:val="00726195"/>
    <w:rsid w:val="00726349"/>
    <w:rsid w:val="007379D7"/>
    <w:rsid w:val="00761BB5"/>
    <w:rsid w:val="0076440A"/>
    <w:rsid w:val="00771D34"/>
    <w:rsid w:val="00772035"/>
    <w:rsid w:val="007729F2"/>
    <w:rsid w:val="00773C3E"/>
    <w:rsid w:val="00777AF1"/>
    <w:rsid w:val="007802CB"/>
    <w:rsid w:val="00782293"/>
    <w:rsid w:val="00785220"/>
    <w:rsid w:val="00797633"/>
    <w:rsid w:val="007A0A03"/>
    <w:rsid w:val="007A352B"/>
    <w:rsid w:val="007A3D75"/>
    <w:rsid w:val="007B3AC4"/>
    <w:rsid w:val="007B76F8"/>
    <w:rsid w:val="007C6608"/>
    <w:rsid w:val="007D2CDC"/>
    <w:rsid w:val="007D3089"/>
    <w:rsid w:val="007D7A92"/>
    <w:rsid w:val="007E5C6D"/>
    <w:rsid w:val="00817487"/>
    <w:rsid w:val="00817AF1"/>
    <w:rsid w:val="00825EEF"/>
    <w:rsid w:val="00827388"/>
    <w:rsid w:val="008374B5"/>
    <w:rsid w:val="0087272E"/>
    <w:rsid w:val="00886A0B"/>
    <w:rsid w:val="0089304E"/>
    <w:rsid w:val="0089502A"/>
    <w:rsid w:val="008A46E3"/>
    <w:rsid w:val="008D1B61"/>
    <w:rsid w:val="008E7371"/>
    <w:rsid w:val="008F4255"/>
    <w:rsid w:val="008F51FF"/>
    <w:rsid w:val="00910D28"/>
    <w:rsid w:val="009204E6"/>
    <w:rsid w:val="00923AD3"/>
    <w:rsid w:val="00933576"/>
    <w:rsid w:val="00940CD0"/>
    <w:rsid w:val="00943E5C"/>
    <w:rsid w:val="0095273B"/>
    <w:rsid w:val="00976B32"/>
    <w:rsid w:val="00981527"/>
    <w:rsid w:val="00984A54"/>
    <w:rsid w:val="00985048"/>
    <w:rsid w:val="009871D8"/>
    <w:rsid w:val="0099549C"/>
    <w:rsid w:val="009A0AA2"/>
    <w:rsid w:val="009A11CF"/>
    <w:rsid w:val="009A2A2C"/>
    <w:rsid w:val="009B34A6"/>
    <w:rsid w:val="009B7519"/>
    <w:rsid w:val="009E1DFC"/>
    <w:rsid w:val="00A04155"/>
    <w:rsid w:val="00A0543C"/>
    <w:rsid w:val="00A06A43"/>
    <w:rsid w:val="00A117F3"/>
    <w:rsid w:val="00A14F89"/>
    <w:rsid w:val="00A25840"/>
    <w:rsid w:val="00A50C31"/>
    <w:rsid w:val="00A7306A"/>
    <w:rsid w:val="00A73713"/>
    <w:rsid w:val="00A76987"/>
    <w:rsid w:val="00A77560"/>
    <w:rsid w:val="00A82BF4"/>
    <w:rsid w:val="00A92186"/>
    <w:rsid w:val="00AC0176"/>
    <w:rsid w:val="00AC5AFF"/>
    <w:rsid w:val="00AD4B4B"/>
    <w:rsid w:val="00AE6BAF"/>
    <w:rsid w:val="00B052B4"/>
    <w:rsid w:val="00B209AA"/>
    <w:rsid w:val="00B24448"/>
    <w:rsid w:val="00B5399E"/>
    <w:rsid w:val="00B62323"/>
    <w:rsid w:val="00B747E9"/>
    <w:rsid w:val="00B85ACE"/>
    <w:rsid w:val="00B976FF"/>
    <w:rsid w:val="00BB61B0"/>
    <w:rsid w:val="00BC408F"/>
    <w:rsid w:val="00BD437B"/>
    <w:rsid w:val="00BE0832"/>
    <w:rsid w:val="00BE1D65"/>
    <w:rsid w:val="00BE7729"/>
    <w:rsid w:val="00BF75B8"/>
    <w:rsid w:val="00C238DD"/>
    <w:rsid w:val="00C23911"/>
    <w:rsid w:val="00C33F20"/>
    <w:rsid w:val="00C35A9D"/>
    <w:rsid w:val="00C35B69"/>
    <w:rsid w:val="00C37AB3"/>
    <w:rsid w:val="00C43A45"/>
    <w:rsid w:val="00C52BFC"/>
    <w:rsid w:val="00C9036A"/>
    <w:rsid w:val="00CD5E8C"/>
    <w:rsid w:val="00CE7F7E"/>
    <w:rsid w:val="00D00688"/>
    <w:rsid w:val="00D03EE7"/>
    <w:rsid w:val="00D2782C"/>
    <w:rsid w:val="00D36903"/>
    <w:rsid w:val="00D374AC"/>
    <w:rsid w:val="00D42BF7"/>
    <w:rsid w:val="00D51414"/>
    <w:rsid w:val="00D603F2"/>
    <w:rsid w:val="00D67C0F"/>
    <w:rsid w:val="00D707DE"/>
    <w:rsid w:val="00D71C63"/>
    <w:rsid w:val="00DA3516"/>
    <w:rsid w:val="00DB1E49"/>
    <w:rsid w:val="00DB6C5F"/>
    <w:rsid w:val="00DD093E"/>
    <w:rsid w:val="00DD19E4"/>
    <w:rsid w:val="00DD7B19"/>
    <w:rsid w:val="00E01AD5"/>
    <w:rsid w:val="00E120C0"/>
    <w:rsid w:val="00E347FE"/>
    <w:rsid w:val="00E459EC"/>
    <w:rsid w:val="00E6090A"/>
    <w:rsid w:val="00E66136"/>
    <w:rsid w:val="00E72203"/>
    <w:rsid w:val="00E756F7"/>
    <w:rsid w:val="00E77B1E"/>
    <w:rsid w:val="00E93E09"/>
    <w:rsid w:val="00EA1255"/>
    <w:rsid w:val="00EA16FB"/>
    <w:rsid w:val="00EA3F56"/>
    <w:rsid w:val="00EA4BAC"/>
    <w:rsid w:val="00EA5723"/>
    <w:rsid w:val="00EA5C8E"/>
    <w:rsid w:val="00EB07EE"/>
    <w:rsid w:val="00EE15EE"/>
    <w:rsid w:val="00EE18C7"/>
    <w:rsid w:val="00EF29F7"/>
    <w:rsid w:val="00EF78A9"/>
    <w:rsid w:val="00F15667"/>
    <w:rsid w:val="00F16B12"/>
    <w:rsid w:val="00F25BB9"/>
    <w:rsid w:val="00F306E1"/>
    <w:rsid w:val="00F41DCE"/>
    <w:rsid w:val="00F438D2"/>
    <w:rsid w:val="00F525D7"/>
    <w:rsid w:val="00F61805"/>
    <w:rsid w:val="00F62248"/>
    <w:rsid w:val="00F62E71"/>
    <w:rsid w:val="00F647A3"/>
    <w:rsid w:val="00F65D09"/>
    <w:rsid w:val="00F87F9A"/>
    <w:rsid w:val="00F92FE1"/>
    <w:rsid w:val="00F94B31"/>
    <w:rsid w:val="00FA1C39"/>
    <w:rsid w:val="00FB1EE5"/>
    <w:rsid w:val="00FC1F8B"/>
    <w:rsid w:val="00FD0DC1"/>
    <w:rsid w:val="00FD1E7D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A30D02-489D-440D-9CB0-819868FE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F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1B8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1B8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1B8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C348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2C34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2C348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C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348F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2B67B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B67B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B67B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A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A1C39"/>
  </w:style>
  <w:style w:type="paragraph" w:styleId="af1">
    <w:name w:val="footer"/>
    <w:basedOn w:val="a"/>
    <w:link w:val="af2"/>
    <w:uiPriority w:val="99"/>
    <w:unhideWhenUsed/>
    <w:rsid w:val="00FA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1C39"/>
  </w:style>
  <w:style w:type="paragraph" w:styleId="af3">
    <w:name w:val="annotation subject"/>
    <w:basedOn w:val="a8"/>
    <w:next w:val="a8"/>
    <w:link w:val="af4"/>
    <w:uiPriority w:val="99"/>
    <w:semiHidden/>
    <w:unhideWhenUsed/>
    <w:rsid w:val="004014B5"/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4014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9887-F50B-405E-A124-B39FA988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России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Юлия Валериевна</dc:creator>
  <cp:lastModifiedBy>kudinova</cp:lastModifiedBy>
  <cp:revision>2</cp:revision>
  <cp:lastPrinted>2022-11-21T06:25:00Z</cp:lastPrinted>
  <dcterms:created xsi:type="dcterms:W3CDTF">2023-04-12T15:07:00Z</dcterms:created>
  <dcterms:modified xsi:type="dcterms:W3CDTF">2023-04-12T15:07:00Z</dcterms:modified>
</cp:coreProperties>
</file>