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71BC0" w:rsidRDefault="00B71BC0">
      <w:pPr>
        <w:pStyle w:val="BodyText"/>
        <w:spacing w:line="336" w:lineRule="auto"/>
        <w:ind w:right="0" w:firstLine="680"/>
        <w:rPr>
          <w:sz w:val="24"/>
          <w:szCs w:val="24"/>
        </w:rPr>
      </w:pPr>
    </w:p>
    <w:p w:rsidR="00B71BC0" w:rsidRDefault="00B71BC0">
      <w:pPr>
        <w:pStyle w:val="BodyText"/>
        <w:spacing w:line="336" w:lineRule="auto"/>
        <w:ind w:right="0" w:firstLine="680"/>
        <w:rPr>
          <w:sz w:val="24"/>
          <w:szCs w:val="24"/>
        </w:rPr>
      </w:pPr>
      <w:r>
        <w:rPr>
          <w:sz w:val="24"/>
          <w:szCs w:val="24"/>
        </w:rPr>
        <w:t>Основные направления деятельности</w:t>
      </w:r>
    </w:p>
    <w:p w:rsidR="00B71BC0" w:rsidRDefault="00B71BC0">
      <w:pPr>
        <w:pStyle w:val="BodyText"/>
        <w:spacing w:line="336" w:lineRule="auto"/>
        <w:ind w:right="0" w:firstLine="680"/>
        <w:rPr>
          <w:sz w:val="24"/>
          <w:szCs w:val="24"/>
        </w:rPr>
      </w:pPr>
      <w:r>
        <w:rPr>
          <w:sz w:val="24"/>
          <w:szCs w:val="24"/>
        </w:rPr>
        <w:t xml:space="preserve">Саморегулируемой (некоммерческой) организации </w:t>
      </w:r>
    </w:p>
    <w:p w:rsidR="00B71BC0" w:rsidRDefault="00B71BC0">
      <w:pPr>
        <w:pStyle w:val="BodyText"/>
        <w:spacing w:line="336" w:lineRule="auto"/>
        <w:ind w:right="0" w:firstLine="680"/>
        <w:rPr>
          <w:sz w:val="24"/>
          <w:szCs w:val="24"/>
        </w:rPr>
      </w:pPr>
      <w:r>
        <w:rPr>
          <w:sz w:val="24"/>
          <w:szCs w:val="24"/>
        </w:rPr>
        <w:t xml:space="preserve">“Национальная ассоциация участников фондового рынка” (НАУФОР) </w:t>
      </w:r>
    </w:p>
    <w:p w:rsidR="00B71BC0" w:rsidRDefault="00B71BC0">
      <w:pPr>
        <w:pStyle w:val="BodyText"/>
        <w:spacing w:line="336" w:lineRule="auto"/>
        <w:ind w:right="0" w:firstLine="680"/>
        <w:rPr>
          <w:sz w:val="24"/>
          <w:szCs w:val="24"/>
        </w:rPr>
      </w:pPr>
      <w:r>
        <w:rPr>
          <w:sz w:val="24"/>
          <w:szCs w:val="24"/>
        </w:rPr>
        <w:t>в 2012 – 2013 годах</w:t>
      </w:r>
    </w:p>
    <w:p w:rsidR="00B71BC0" w:rsidRDefault="00B71BC0">
      <w:pPr>
        <w:pStyle w:val="BodyText"/>
        <w:spacing w:line="336" w:lineRule="auto"/>
        <w:ind w:right="0" w:firstLine="680"/>
        <w:jc w:val="both"/>
        <w:rPr>
          <w:b w:val="0"/>
          <w:bCs w:val="0"/>
          <w:sz w:val="24"/>
          <w:szCs w:val="24"/>
        </w:rPr>
      </w:pPr>
      <w:r>
        <w:rPr>
          <w:b w:val="0"/>
          <w:bCs w:val="0"/>
          <w:sz w:val="24"/>
          <w:szCs w:val="24"/>
        </w:rPr>
        <w:t>Основные направления деятельности Саморегулируемой (некоммерческой) организации “Национальная ассоциация участников фондового рынка” (НАУФОР) в 2012 – 2013 годах разработаны в соответствии с Уставом НАУФОР и обусловлены целями и задачами саморегулируемых организаций, предусмотренными Федеральным законом “О рынке ценных бумаг”, Положением о саморегулируемых организациях, утвержденным постановлением ФКЦБ России от 01.07.1997 № 24.</w:t>
      </w:r>
    </w:p>
    <w:p w:rsidR="00B71BC0" w:rsidRDefault="00B71BC0">
      <w:pPr>
        <w:pStyle w:val="BodyText"/>
        <w:spacing w:line="336" w:lineRule="auto"/>
        <w:ind w:right="0" w:firstLine="680"/>
        <w:jc w:val="both"/>
        <w:rPr>
          <w:snapToGrid w:val="0"/>
          <w:sz w:val="24"/>
          <w:szCs w:val="24"/>
        </w:rPr>
      </w:pPr>
    </w:p>
    <w:p w:rsidR="00B71BC0" w:rsidRDefault="00B71BC0">
      <w:pPr>
        <w:pStyle w:val="BodyText"/>
        <w:spacing w:line="336" w:lineRule="auto"/>
        <w:ind w:right="0" w:firstLine="680"/>
        <w:jc w:val="both"/>
        <w:rPr>
          <w:snapToGrid w:val="0"/>
          <w:sz w:val="24"/>
          <w:szCs w:val="24"/>
        </w:rPr>
      </w:pPr>
      <w:r>
        <w:rPr>
          <w:snapToGrid w:val="0"/>
          <w:sz w:val="24"/>
          <w:szCs w:val="24"/>
        </w:rPr>
        <w:t>1. Обеспечение условий деятельности членов НАУФОР</w:t>
      </w:r>
    </w:p>
    <w:p w:rsidR="00B71BC0" w:rsidRDefault="00B71BC0">
      <w:pPr>
        <w:pStyle w:val="BodyText"/>
        <w:spacing w:line="336" w:lineRule="auto"/>
        <w:ind w:right="0" w:firstLine="680"/>
        <w:jc w:val="both"/>
        <w:rPr>
          <w:b w:val="0"/>
          <w:bCs w:val="0"/>
          <w:sz w:val="24"/>
          <w:szCs w:val="24"/>
        </w:rPr>
      </w:pPr>
      <w:r>
        <w:rPr>
          <w:b w:val="0"/>
          <w:bCs w:val="0"/>
          <w:sz w:val="24"/>
          <w:szCs w:val="24"/>
        </w:rPr>
        <w:t>Одной из основных задач НАУФОР, как крупнейшей саморегулируемой организации на рынке ценных бумаг, является содействие развитию российского финансового рынка в целях обеспечения благоприятных условий деятельности ее членов. Приоритетными направлениями указанного развития в настоящий момент являются повышение конкурентоспособности внутреннего первичного рынка, стимулирование внутреннего инвестиционного спроса и защита интересов потребителей финансовых услуг. В связи с этим НАУФОР будет активно участвовать в разработке следующих ключевых для совершенствования фондового рынка  нормативных актов:</w:t>
      </w:r>
    </w:p>
    <w:p w:rsidR="00B71BC0" w:rsidRDefault="00B71BC0">
      <w:pPr>
        <w:pStyle w:val="BodyText"/>
        <w:spacing w:line="336" w:lineRule="auto"/>
        <w:ind w:right="0" w:firstLine="680"/>
        <w:jc w:val="both"/>
        <w:rPr>
          <w:b w:val="0"/>
          <w:bCs w:val="0"/>
          <w:sz w:val="24"/>
          <w:szCs w:val="24"/>
        </w:rPr>
      </w:pPr>
      <w:r>
        <w:rPr>
          <w:b w:val="0"/>
          <w:bCs w:val="0"/>
          <w:sz w:val="24"/>
          <w:szCs w:val="24"/>
        </w:rPr>
        <w:t>– Федеральный закон “О внесении изменений в Федеральный закон “О рынке ценных бумаг” и некоторые другие законодательные акты Российской Федерации в части упрощения процедуры эмиссии ценных бумаг”;</w:t>
      </w:r>
    </w:p>
    <w:p w:rsidR="00B71BC0" w:rsidRDefault="00B71BC0">
      <w:pPr>
        <w:pStyle w:val="BodyText"/>
        <w:spacing w:line="336" w:lineRule="auto"/>
        <w:ind w:right="0" w:firstLine="680"/>
        <w:jc w:val="both"/>
        <w:rPr>
          <w:b w:val="0"/>
          <w:bCs w:val="0"/>
          <w:sz w:val="24"/>
          <w:szCs w:val="24"/>
        </w:rPr>
      </w:pPr>
      <w:r>
        <w:rPr>
          <w:b w:val="0"/>
          <w:bCs w:val="0"/>
          <w:sz w:val="24"/>
          <w:szCs w:val="24"/>
        </w:rPr>
        <w:t>– федеральный закон, направленный на внесение изменений в нормативные правовые акты в целях налогового стимулирования инвестирования сбережений граждан на финансовом рынке (возможно, введение специального инвестиционного налогового вычета и освобождения от налогообложения доходов, полученных от операций с соответствующими средствами),  в том числе путем введения специальных целевых счетов (пенсионных, образовательных и т.д.);</w:t>
      </w:r>
    </w:p>
    <w:p w:rsidR="00B71BC0" w:rsidRDefault="00B71BC0">
      <w:pPr>
        <w:pStyle w:val="BodyText"/>
        <w:spacing w:line="336" w:lineRule="auto"/>
        <w:ind w:right="0" w:firstLine="680"/>
        <w:jc w:val="both"/>
        <w:rPr>
          <w:b w:val="0"/>
          <w:bCs w:val="0"/>
          <w:sz w:val="24"/>
          <w:szCs w:val="24"/>
        </w:rPr>
      </w:pPr>
      <w:r>
        <w:rPr>
          <w:b w:val="0"/>
          <w:bCs w:val="0"/>
          <w:sz w:val="24"/>
          <w:szCs w:val="24"/>
        </w:rPr>
        <w:t>– федеральный закон, направленный на совершенствование системы налогообложения при осуществлении операций на финансовом рынке, включая освобождение от налогообложения доходов физических лиц от реализации ценных бумаг, освобождение от налога на добавленную стоимость вознаграждения профессиональных участников рынка ценных бумаг и институтов коллективного инвестирования;</w:t>
      </w:r>
    </w:p>
    <w:p w:rsidR="00B71BC0" w:rsidRDefault="00B71BC0">
      <w:pPr>
        <w:pStyle w:val="BodyText"/>
        <w:spacing w:line="336" w:lineRule="auto"/>
        <w:ind w:right="0" w:firstLine="680"/>
        <w:jc w:val="both"/>
        <w:rPr>
          <w:b w:val="0"/>
          <w:bCs w:val="0"/>
          <w:sz w:val="24"/>
          <w:szCs w:val="24"/>
        </w:rPr>
      </w:pPr>
      <w:r>
        <w:rPr>
          <w:b w:val="0"/>
          <w:bCs w:val="0"/>
          <w:sz w:val="24"/>
          <w:szCs w:val="24"/>
        </w:rPr>
        <w:t>– Федеральный закон “О внесении изменений в Федеральный закон “О рынке ценных бумаг” и иные законодательные акты Российской Федерации” (в части пруденциального надзора за профессиональными участниками рынка ценных бумаг, а также порядка выплат компенсаций гражданам на рынке ценных бумаг)”;</w:t>
      </w:r>
    </w:p>
    <w:p w:rsidR="00B71BC0" w:rsidRDefault="00B71BC0">
      <w:pPr>
        <w:pStyle w:val="BodyText"/>
        <w:spacing w:line="336" w:lineRule="auto"/>
        <w:ind w:right="0" w:firstLine="680"/>
        <w:jc w:val="both"/>
        <w:rPr>
          <w:b w:val="0"/>
          <w:bCs w:val="0"/>
          <w:sz w:val="24"/>
          <w:szCs w:val="24"/>
        </w:rPr>
      </w:pPr>
      <w:r>
        <w:rPr>
          <w:b w:val="0"/>
          <w:bCs w:val="0"/>
          <w:sz w:val="24"/>
          <w:szCs w:val="24"/>
        </w:rPr>
        <w:t>– Федеральный закон “О внесении изменений в Федеральный закон “О рынке ценных бумаг” и другие законодательные акты Российской Федерации в части регулирования деятельности инвестиционных консультантов, предоставления услуг розничным инвесторам”;</w:t>
      </w:r>
    </w:p>
    <w:p w:rsidR="00B71BC0" w:rsidRDefault="00B71BC0">
      <w:pPr>
        <w:pStyle w:val="BodyText"/>
        <w:spacing w:line="336" w:lineRule="auto"/>
        <w:ind w:right="0" w:firstLine="680"/>
        <w:jc w:val="both"/>
        <w:rPr>
          <w:b w:val="0"/>
          <w:bCs w:val="0"/>
          <w:sz w:val="24"/>
          <w:szCs w:val="24"/>
        </w:rPr>
      </w:pPr>
      <w:r>
        <w:rPr>
          <w:b w:val="0"/>
          <w:bCs w:val="0"/>
          <w:sz w:val="24"/>
          <w:szCs w:val="24"/>
        </w:rPr>
        <w:t xml:space="preserve">- федеральный закон,  </w:t>
      </w:r>
      <w:r>
        <w:t xml:space="preserve"> </w:t>
      </w:r>
      <w:r>
        <w:rPr>
          <w:b w:val="0"/>
          <w:bCs w:val="0"/>
          <w:sz w:val="24"/>
          <w:szCs w:val="24"/>
        </w:rPr>
        <w:t>направленный на создание дифференцированного подхода при применении административного наказания за совершение административных правонарушений на финансовом рынке в зависимости от тяжести правонарушения и неоднократности его совершения;</w:t>
      </w:r>
    </w:p>
    <w:p w:rsidR="00B71BC0" w:rsidRDefault="00B71BC0">
      <w:pPr>
        <w:pStyle w:val="BodyText"/>
        <w:spacing w:line="336" w:lineRule="auto"/>
        <w:ind w:right="0" w:firstLine="680"/>
        <w:jc w:val="both"/>
        <w:rPr>
          <w:b w:val="0"/>
          <w:bCs w:val="0"/>
          <w:sz w:val="24"/>
          <w:szCs w:val="24"/>
        </w:rPr>
      </w:pPr>
      <w:r>
        <w:rPr>
          <w:b w:val="0"/>
          <w:bCs w:val="0"/>
          <w:sz w:val="24"/>
          <w:szCs w:val="24"/>
        </w:rPr>
        <w:t xml:space="preserve">- федеральный закон, направленный на регулирование розничных операций на рынке </w:t>
      </w:r>
      <w:r>
        <w:rPr>
          <w:b w:val="0"/>
          <w:bCs w:val="0"/>
          <w:sz w:val="24"/>
          <w:szCs w:val="24"/>
          <w:lang w:val="en-US"/>
        </w:rPr>
        <w:t>FOREX</w:t>
      </w:r>
      <w:r>
        <w:rPr>
          <w:b w:val="0"/>
          <w:bCs w:val="0"/>
          <w:sz w:val="24"/>
          <w:szCs w:val="24"/>
        </w:rPr>
        <w:t xml:space="preserve"> в целях обеспечения защиты интересов потребителей финансовых услуг и устранения регулятивного дисбаланса между лицензируемой профессиональной деятельностью на рынке ценных бумаг и оказанием услуг на рынке </w:t>
      </w:r>
      <w:r>
        <w:rPr>
          <w:b w:val="0"/>
          <w:bCs w:val="0"/>
          <w:sz w:val="24"/>
          <w:szCs w:val="24"/>
          <w:lang w:val="en-US"/>
        </w:rPr>
        <w:t>FOREX</w:t>
      </w:r>
      <w:r>
        <w:rPr>
          <w:b w:val="0"/>
          <w:bCs w:val="0"/>
          <w:sz w:val="24"/>
          <w:szCs w:val="24"/>
        </w:rPr>
        <w:t>;</w:t>
      </w:r>
    </w:p>
    <w:p w:rsidR="00B71BC0" w:rsidRDefault="00B71BC0">
      <w:pPr>
        <w:pStyle w:val="BodyText"/>
        <w:spacing w:line="336" w:lineRule="auto"/>
        <w:ind w:right="0" w:firstLine="680"/>
        <w:jc w:val="both"/>
        <w:rPr>
          <w:b w:val="0"/>
          <w:bCs w:val="0"/>
          <w:sz w:val="24"/>
          <w:szCs w:val="24"/>
        </w:rPr>
      </w:pPr>
      <w:r>
        <w:rPr>
          <w:b w:val="0"/>
          <w:bCs w:val="0"/>
          <w:sz w:val="24"/>
          <w:szCs w:val="24"/>
        </w:rPr>
        <w:t xml:space="preserve">- нормативные акты, связанные с регулированием профессиональной деятельности на рынке ценных бумаг, в том числе правила расчета собственных средств, правила совершения маржинальных и необеспеченных сделок, а также иных операций на финансовом рынке, порядок проведения проверок деятельности профессиональных участников финансового рынка, правила предоставления информации о заключении договоров РЕПО, договоров, являющихся производными финансовыми инструментами, и иных договорах, заключенных на условиях генерального соглашения, в репозитарий, а также порядок ведения репозитариями реестров указанных договоров. </w:t>
      </w:r>
    </w:p>
    <w:p w:rsidR="00B71BC0" w:rsidRDefault="00B71BC0">
      <w:pPr>
        <w:pStyle w:val="BodyText"/>
        <w:spacing w:line="336" w:lineRule="auto"/>
        <w:ind w:right="0" w:firstLine="680"/>
        <w:jc w:val="both"/>
        <w:rPr>
          <w:b w:val="0"/>
          <w:bCs w:val="0"/>
          <w:sz w:val="24"/>
          <w:szCs w:val="24"/>
        </w:rPr>
      </w:pPr>
      <w:r>
        <w:rPr>
          <w:b w:val="0"/>
          <w:bCs w:val="0"/>
          <w:sz w:val="24"/>
          <w:szCs w:val="24"/>
        </w:rPr>
        <w:t>В данной работе НАУФОР намерена осуществлять тесное взаимодействие с ФСФР России, Минфином России, Банком России, Государственной Думой Федерального Собрания Российской Федерации и другими государственными органами и рабочими группами, в первую очередь с Рабочей группой по созданию международного финансового рынка, к компетенции которых относится регулирование и развитие финансового рынка.</w:t>
      </w:r>
    </w:p>
    <w:p w:rsidR="00B71BC0" w:rsidRDefault="00B71BC0">
      <w:pPr>
        <w:pStyle w:val="BodyText"/>
        <w:spacing w:line="336" w:lineRule="auto"/>
        <w:ind w:right="0" w:firstLine="680"/>
        <w:jc w:val="both"/>
        <w:rPr>
          <w:b w:val="0"/>
          <w:bCs w:val="0"/>
          <w:snapToGrid w:val="0"/>
          <w:sz w:val="24"/>
          <w:szCs w:val="24"/>
        </w:rPr>
      </w:pPr>
      <w:r>
        <w:rPr>
          <w:b w:val="0"/>
          <w:bCs w:val="0"/>
          <w:snapToGrid w:val="0"/>
          <w:sz w:val="24"/>
          <w:szCs w:val="24"/>
        </w:rPr>
        <w:t>Одним из направлений совершенствования региональных финансовых рынков России в 2012 – 2013 годах станет участие НАУФОР во взаимодействии с другими заинтересованными лицами в разработке концепции и организации  региональных советов по развитию финансового рынка.</w:t>
      </w:r>
    </w:p>
    <w:p w:rsidR="00B71BC0" w:rsidRDefault="00B71BC0">
      <w:pPr>
        <w:spacing w:line="336" w:lineRule="auto"/>
        <w:ind w:firstLine="680"/>
        <w:jc w:val="both"/>
        <w:rPr>
          <w:b/>
          <w:bCs/>
          <w:sz w:val="24"/>
          <w:szCs w:val="24"/>
        </w:rPr>
      </w:pPr>
    </w:p>
    <w:p w:rsidR="00B71BC0" w:rsidRDefault="00B71BC0">
      <w:pPr>
        <w:spacing w:line="336" w:lineRule="auto"/>
        <w:ind w:firstLine="680"/>
        <w:jc w:val="both"/>
        <w:rPr>
          <w:b/>
          <w:bCs/>
          <w:sz w:val="24"/>
          <w:szCs w:val="24"/>
        </w:rPr>
      </w:pPr>
      <w:r>
        <w:rPr>
          <w:b/>
          <w:bCs/>
          <w:sz w:val="24"/>
          <w:szCs w:val="24"/>
        </w:rPr>
        <w:t>2. Повышение качества услуг, оказываемых членам НАУФОР, и финансовой устойчивости членов НАУФОР</w:t>
      </w:r>
    </w:p>
    <w:p w:rsidR="00B71BC0" w:rsidRDefault="00B71BC0">
      <w:pPr>
        <w:spacing w:line="336" w:lineRule="auto"/>
        <w:ind w:firstLine="680"/>
        <w:jc w:val="both"/>
        <w:rPr>
          <w:sz w:val="24"/>
          <w:szCs w:val="24"/>
        </w:rPr>
      </w:pPr>
      <w:r>
        <w:rPr>
          <w:sz w:val="24"/>
          <w:szCs w:val="24"/>
        </w:rPr>
        <w:t>В 2012 – 2013 годах НАУФОР планирует продолжить работу по подготовке стандартов профессиональной деятельности.</w:t>
      </w:r>
    </w:p>
    <w:p w:rsidR="00B71BC0" w:rsidRDefault="00B71BC0">
      <w:pPr>
        <w:spacing w:line="336" w:lineRule="auto"/>
        <w:ind w:firstLine="680"/>
        <w:jc w:val="both"/>
        <w:rPr>
          <w:sz w:val="24"/>
          <w:szCs w:val="24"/>
        </w:rPr>
      </w:pPr>
      <w:r>
        <w:rPr>
          <w:sz w:val="24"/>
          <w:szCs w:val="24"/>
        </w:rPr>
        <w:t>НАУФОР также планирует разработать стандарты осуществления деятельности по управлению ценными бумагами, завершить работу по подготовке Стандарта по предотвращению неправомерного использования инсайдерской информации с учетом требований Федерального закона “О противодействии неправомерному использованию инсайдерской информации и манипулированию рынком”, а также подготовить новую редакцию Стандарта НАУФОР по управлению рисками с учетом практики его применения и изменения регулятивных и нормативных требований.</w:t>
      </w:r>
    </w:p>
    <w:p w:rsidR="00B71BC0" w:rsidRDefault="00B71BC0">
      <w:pPr>
        <w:spacing w:line="336" w:lineRule="auto"/>
        <w:ind w:firstLine="680"/>
        <w:jc w:val="both"/>
        <w:rPr>
          <w:sz w:val="24"/>
          <w:szCs w:val="24"/>
        </w:rPr>
      </w:pPr>
      <w:r>
        <w:rPr>
          <w:sz w:val="24"/>
          <w:szCs w:val="24"/>
        </w:rPr>
        <w:t xml:space="preserve">В целях развития и продвижения российского рынка внебиржевых производных финансовых инструментов для формирования правил и традиций делового оборота, соответствующих наилучшим образцам международной практики, НАУФОР совместно с Ассоциацией российских банков (АРБ) и Национальной валютной ассоциацией (НВА) продолжит деятельность по совершенствованию и продвижению Стандартной документации для срочных сделок на внебиржевых финансовых рынках. В течение 2012 -2013 г. будет подготовлена редакция Стандартной документации, включающая новые продуктовые приложения, в том числе приложение для срочных сделок, предметом которых является товары. </w:t>
      </w:r>
    </w:p>
    <w:p w:rsidR="00B71BC0" w:rsidRDefault="00B71BC0">
      <w:pPr>
        <w:spacing w:line="336" w:lineRule="auto"/>
        <w:ind w:firstLine="680"/>
        <w:jc w:val="both"/>
        <w:rPr>
          <w:sz w:val="24"/>
          <w:szCs w:val="24"/>
        </w:rPr>
      </w:pPr>
      <w:r>
        <w:rPr>
          <w:sz w:val="24"/>
          <w:szCs w:val="24"/>
        </w:rPr>
        <w:t xml:space="preserve">В 2012 – 2013 годах будет осуществляться наполнение и поддержка правовой базы для членов НАУФОР, содержащей законы и нормативные правовые акты, а также разъяснения и комментарии НАУФОР и органов государственной власти по вопросам осуществления профессиональной деятельности на рынке ценных бумаг. Кроме того, будет продолжена работа по анализу судебной практики по вопросам рынка ценных бумаг. </w:t>
      </w:r>
    </w:p>
    <w:p w:rsidR="00B71BC0" w:rsidRDefault="00B71BC0">
      <w:pPr>
        <w:spacing w:line="336" w:lineRule="auto"/>
        <w:ind w:firstLine="680"/>
        <w:jc w:val="both"/>
        <w:rPr>
          <w:b/>
          <w:bCs/>
          <w:sz w:val="24"/>
          <w:szCs w:val="24"/>
        </w:rPr>
      </w:pPr>
    </w:p>
    <w:p w:rsidR="00B71BC0" w:rsidRDefault="00B71BC0">
      <w:pPr>
        <w:spacing w:line="336" w:lineRule="auto"/>
        <w:ind w:firstLine="680"/>
        <w:jc w:val="both"/>
        <w:rPr>
          <w:b/>
          <w:bCs/>
          <w:sz w:val="24"/>
          <w:szCs w:val="24"/>
        </w:rPr>
      </w:pPr>
      <w:r>
        <w:rPr>
          <w:b/>
          <w:bCs/>
          <w:sz w:val="24"/>
          <w:szCs w:val="24"/>
        </w:rPr>
        <w:t>3. Повышение уровня контроля за деятельностью членов НАУФОР</w:t>
      </w:r>
    </w:p>
    <w:p w:rsidR="00B71BC0" w:rsidRDefault="00B71BC0">
      <w:pPr>
        <w:spacing w:line="336" w:lineRule="auto"/>
        <w:ind w:firstLine="680"/>
        <w:jc w:val="both"/>
        <w:rPr>
          <w:sz w:val="24"/>
          <w:szCs w:val="24"/>
        </w:rPr>
      </w:pPr>
      <w:r>
        <w:rPr>
          <w:sz w:val="24"/>
          <w:szCs w:val="24"/>
        </w:rPr>
        <w:t>Совершенствование контрольных функций НАУФОР в 2012 – 2013 годах будет подчинено задачам обеспечения финансовой устойчивости участников финансового рынка, повышения качества услуг, оказываемых участниками финансового рынка и защиты интересов инвесторов, обеспечения эффективности функционирования финансового рынка и снижения издержек операций на финансовом рынке.</w:t>
      </w:r>
    </w:p>
    <w:p w:rsidR="00B71BC0" w:rsidRDefault="00B71BC0">
      <w:pPr>
        <w:spacing w:line="336" w:lineRule="auto"/>
        <w:ind w:firstLine="680"/>
        <w:jc w:val="both"/>
        <w:rPr>
          <w:sz w:val="24"/>
          <w:szCs w:val="24"/>
        </w:rPr>
      </w:pPr>
      <w:r>
        <w:rPr>
          <w:sz w:val="24"/>
          <w:szCs w:val="24"/>
        </w:rPr>
        <w:t xml:space="preserve">В связи с этим НАУФОР продолжит работу над системой взаимодействия с ФСФР России и организаторами торговли при регулировании деятельности на фондовом рынке и осуществлении пруденциального надзора, в том числе путем взаимодействия в процессе сбора и анализа отчетности профессиональных участников рынка ценных бумаг. Одним из основных направлений контроля станет проверка существующей в организациях системы управления рисками на предмет её достаточности и эффективности. </w:t>
      </w:r>
    </w:p>
    <w:p w:rsidR="00B71BC0" w:rsidRDefault="00B71BC0">
      <w:pPr>
        <w:spacing w:line="336" w:lineRule="auto"/>
        <w:ind w:firstLine="680"/>
        <w:jc w:val="both"/>
        <w:rPr>
          <w:sz w:val="24"/>
          <w:szCs w:val="24"/>
        </w:rPr>
      </w:pPr>
      <w:r>
        <w:rPr>
          <w:sz w:val="24"/>
          <w:szCs w:val="24"/>
        </w:rPr>
        <w:t xml:space="preserve">Во взаимодействии с Консалтинговым центром НАУФОР будет развивать механизм предоставления профессиональными участниками рынка ценных бумаг отчетности в ФСФР России и ее анализа. </w:t>
      </w:r>
    </w:p>
    <w:p w:rsidR="00B71BC0" w:rsidRDefault="00B71BC0">
      <w:pPr>
        <w:spacing w:line="336" w:lineRule="auto"/>
        <w:ind w:firstLine="680"/>
        <w:jc w:val="both"/>
        <w:rPr>
          <w:sz w:val="24"/>
          <w:szCs w:val="24"/>
        </w:rPr>
      </w:pPr>
      <w:r>
        <w:rPr>
          <w:sz w:val="24"/>
          <w:szCs w:val="24"/>
        </w:rPr>
        <w:t>Будет продолжена работа по анализу практики Третейского суда НАУФОР по вопросам рынка ценных бумаг, а также практика проведения тематических проверок НАУФОР по различным вопросам осуществления профессиональной деятельности на рынке ценных бумаг. Данная практика будет обобщена и в форме соответствующих рекомендаций представлена членам НАУФОР.</w:t>
      </w:r>
    </w:p>
    <w:p w:rsidR="00B71BC0" w:rsidRDefault="00B71BC0">
      <w:pPr>
        <w:spacing w:line="336" w:lineRule="auto"/>
        <w:ind w:firstLine="680"/>
        <w:jc w:val="both"/>
        <w:rPr>
          <w:sz w:val="24"/>
          <w:szCs w:val="24"/>
        </w:rPr>
      </w:pPr>
      <w:r>
        <w:rPr>
          <w:sz w:val="24"/>
          <w:szCs w:val="24"/>
        </w:rPr>
        <w:t>В рамках регулирования порядка проведения плановых проверок НАУФОР планирует ввести, в том числе правила, предусматривающие при проведении плановых проверок учет результатов анализа отчетности профессиональных участников рынка ценных бумаг.</w:t>
      </w:r>
    </w:p>
    <w:p w:rsidR="00B71BC0" w:rsidRDefault="00B71BC0">
      <w:pPr>
        <w:spacing w:line="336" w:lineRule="auto"/>
        <w:ind w:firstLine="680"/>
        <w:jc w:val="both"/>
        <w:rPr>
          <w:sz w:val="24"/>
          <w:szCs w:val="24"/>
        </w:rPr>
      </w:pPr>
    </w:p>
    <w:p w:rsidR="00B71BC0" w:rsidRDefault="00B71BC0">
      <w:pPr>
        <w:spacing w:line="336" w:lineRule="auto"/>
        <w:ind w:firstLine="680"/>
        <w:jc w:val="both"/>
        <w:rPr>
          <w:b/>
          <w:bCs/>
          <w:sz w:val="24"/>
          <w:szCs w:val="24"/>
        </w:rPr>
      </w:pPr>
      <w:r>
        <w:rPr>
          <w:b/>
          <w:bCs/>
          <w:sz w:val="24"/>
          <w:szCs w:val="24"/>
        </w:rPr>
        <w:t>4. Профессиональная подготовка специалистов финансового рынка и повышение финансовой грамотности</w:t>
      </w:r>
    </w:p>
    <w:p w:rsidR="00B71BC0" w:rsidRDefault="00B71BC0">
      <w:pPr>
        <w:spacing w:line="336" w:lineRule="auto"/>
        <w:ind w:firstLine="680"/>
        <w:jc w:val="both"/>
        <w:rPr>
          <w:sz w:val="24"/>
          <w:szCs w:val="24"/>
        </w:rPr>
      </w:pPr>
      <w:r>
        <w:rPr>
          <w:sz w:val="24"/>
          <w:szCs w:val="24"/>
        </w:rPr>
        <w:t xml:space="preserve">В 2012 – 2013 годах во взаимодействии с ООО “Консалтинговый центр НАУФОР” будут проводиться семинары по актуальным вопросам финансового рынка. Такие семинары планируется проводить как в Москве, так и в других регионах России. </w:t>
      </w:r>
    </w:p>
    <w:p w:rsidR="00B71BC0" w:rsidRDefault="00B71BC0">
      <w:pPr>
        <w:spacing w:line="336" w:lineRule="auto"/>
        <w:ind w:firstLine="680"/>
        <w:jc w:val="both"/>
        <w:rPr>
          <w:sz w:val="24"/>
          <w:szCs w:val="24"/>
        </w:rPr>
      </w:pPr>
      <w:r>
        <w:rPr>
          <w:sz w:val="24"/>
          <w:szCs w:val="24"/>
        </w:rPr>
        <w:t xml:space="preserve">В целях повышения уровня подготовки специалистов фондового рынка и ведомств, ответственных за его регулирование, НАУФОР в качестве базовой кафедры Государственного университета Министерства финансов РФ организует проведение бизнес-классов специалистами НАУФОР и компаний-членов НАУФОР.     </w:t>
      </w:r>
    </w:p>
    <w:p w:rsidR="00B71BC0" w:rsidRDefault="00B71BC0">
      <w:pPr>
        <w:spacing w:line="336" w:lineRule="auto"/>
        <w:ind w:firstLine="680"/>
        <w:jc w:val="both"/>
        <w:rPr>
          <w:sz w:val="24"/>
          <w:szCs w:val="24"/>
        </w:rPr>
      </w:pPr>
      <w:r>
        <w:rPr>
          <w:sz w:val="24"/>
          <w:szCs w:val="24"/>
        </w:rPr>
        <w:t xml:space="preserve">В 2012 – 2013 годах НАУФОР в сотрудничестве с другими организациями будет активно участвовать в мероприятиях по повышению финансовой грамотности. </w:t>
      </w:r>
    </w:p>
    <w:p w:rsidR="00B71BC0" w:rsidRDefault="00B71BC0">
      <w:pPr>
        <w:spacing w:line="336" w:lineRule="auto"/>
        <w:ind w:firstLine="680"/>
        <w:jc w:val="both"/>
        <w:rPr>
          <w:sz w:val="24"/>
          <w:szCs w:val="24"/>
        </w:rPr>
      </w:pPr>
    </w:p>
    <w:p w:rsidR="00B71BC0" w:rsidRDefault="00B71BC0">
      <w:pPr>
        <w:spacing w:line="336" w:lineRule="auto"/>
        <w:ind w:firstLine="680"/>
        <w:jc w:val="both"/>
        <w:rPr>
          <w:b/>
          <w:bCs/>
          <w:sz w:val="24"/>
          <w:szCs w:val="24"/>
        </w:rPr>
      </w:pPr>
      <w:r>
        <w:rPr>
          <w:b/>
          <w:bCs/>
          <w:sz w:val="24"/>
          <w:szCs w:val="24"/>
        </w:rPr>
        <w:t>5. Проведение публичных и информационных мероприятий</w:t>
      </w:r>
    </w:p>
    <w:p w:rsidR="00B71BC0" w:rsidRDefault="00B71BC0">
      <w:pPr>
        <w:spacing w:line="336" w:lineRule="auto"/>
        <w:ind w:firstLine="680"/>
        <w:jc w:val="both"/>
        <w:rPr>
          <w:snapToGrid w:val="0"/>
          <w:color w:val="000000"/>
          <w:sz w:val="24"/>
          <w:szCs w:val="24"/>
        </w:rPr>
      </w:pPr>
      <w:r>
        <w:rPr>
          <w:sz w:val="24"/>
          <w:szCs w:val="24"/>
        </w:rPr>
        <w:t xml:space="preserve">Помимо этого НАУФОР будет проводить публичные и информационные мероприятия, способствующие развитию финансового рынка. Ключевое мероприятие – ежегодная </w:t>
      </w:r>
      <w:r>
        <w:rPr>
          <w:snapToGrid w:val="0"/>
          <w:color w:val="000000"/>
          <w:sz w:val="24"/>
          <w:szCs w:val="24"/>
        </w:rPr>
        <w:t xml:space="preserve">конференция НАУФОР “Российский фондовый рынок” для профессиональных участников рынка ценных бумаг по наиболее актуальным вопросам национального фондового рынка пройдет осенью 2012 в Екатеринбурге, зимой 2012 в Казани и весной 2013 года в Москве. </w:t>
      </w:r>
    </w:p>
    <w:p w:rsidR="00B71BC0" w:rsidRDefault="00B71BC0">
      <w:pPr>
        <w:spacing w:line="336" w:lineRule="auto"/>
        <w:ind w:firstLine="680"/>
        <w:jc w:val="both"/>
        <w:rPr>
          <w:sz w:val="24"/>
          <w:szCs w:val="24"/>
        </w:rPr>
      </w:pPr>
      <w:r>
        <w:rPr>
          <w:snapToGrid w:val="0"/>
          <w:color w:val="000000"/>
          <w:sz w:val="24"/>
          <w:szCs w:val="24"/>
        </w:rPr>
        <w:t>Также весной 2013 года будет проведен ежегодный Национальный конкурс “Элита фондового рынка”, организатором которого выступает НАУФОР.</w:t>
      </w:r>
    </w:p>
    <w:p w:rsidR="00B71BC0" w:rsidRDefault="00B71BC0">
      <w:pPr>
        <w:spacing w:line="336" w:lineRule="auto"/>
        <w:ind w:firstLine="680"/>
        <w:jc w:val="both"/>
        <w:rPr>
          <w:sz w:val="24"/>
          <w:szCs w:val="24"/>
        </w:rPr>
      </w:pPr>
      <w:r>
        <w:rPr>
          <w:sz w:val="24"/>
          <w:szCs w:val="24"/>
        </w:rPr>
        <w:t>В течение 2012-2013 гг. года НАУФОР планирует проведение и иных информационных и публичных мероприятий по вопросам фондового рынка, семинаров и круглых столов для профессиональных участников рынка ценных бумаг по основным вопросам их деятельности в формате онлайн- и выездных семинаров.</w:t>
      </w:r>
    </w:p>
    <w:sectPr w:rsidR="00B71BC0" w:rsidSect="00B71BC0">
      <w:footerReference w:type="default" r:id="rId7"/>
      <w:pgSz w:w="11906" w:h="16838"/>
      <w:pgMar w:top="851" w:right="1134" w:bottom="851" w:left="1418" w:header="709" w:footer="709" w:gutter="0"/>
      <w:cols w:space="709"/>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71BC0" w:rsidRDefault="00B71BC0">
      <w:r>
        <w:separator/>
      </w:r>
    </w:p>
  </w:endnote>
  <w:endnote w:type="continuationSeparator" w:id="1">
    <w:p w:rsidR="00B71BC0" w:rsidRDefault="00B71BC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 w:name="Arial">
    <w:panose1 w:val="020B0604020202020204"/>
    <w:charset w:val="CC"/>
    <w:family w:val="swiss"/>
    <w:pitch w:val="variable"/>
    <w:sig w:usb0="20002A87" w:usb1="80000000" w:usb2="00000008" w:usb3="00000000" w:csb0="000001FF" w:csb1="00000000"/>
  </w:font>
  <w:font w:name="Arial Black">
    <w:panose1 w:val="020B0A04020102020204"/>
    <w:charset w:val="CC"/>
    <w:family w:val="swiss"/>
    <w:pitch w:val="variable"/>
    <w:sig w:usb0="00000287" w:usb1="00000000" w:usb2="00000000" w:usb3="00000000" w:csb0="0000009F" w:csb1="00000000"/>
  </w:font>
  <w:font w:name="Courier New">
    <w:panose1 w:val="02070309020205020404"/>
    <w:charset w:val="CC"/>
    <w:family w:val="modern"/>
    <w:pitch w:val="fixed"/>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1BC0" w:rsidRDefault="00B71BC0">
    <w:pPr>
      <w:pStyle w:val="Footer"/>
      <w:framePr w:wrap="auto"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4</w:t>
    </w:r>
    <w:r>
      <w:rPr>
        <w:rStyle w:val="PageNumber"/>
      </w:rPr>
      <w:fldChar w:fldCharType="end"/>
    </w:r>
  </w:p>
  <w:p w:rsidR="00B71BC0" w:rsidRDefault="00B71BC0">
    <w:pPr>
      <w:pStyle w:val="Footer"/>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71BC0" w:rsidRDefault="00B71BC0">
      <w:r>
        <w:separator/>
      </w:r>
    </w:p>
  </w:footnote>
  <w:footnote w:type="continuationSeparator" w:id="1">
    <w:p w:rsidR="00B71BC0" w:rsidRDefault="00B71BC0">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7F01388"/>
    <w:multiLevelType w:val="singleLevel"/>
    <w:tmpl w:val="10ACDC20"/>
    <w:lvl w:ilvl="0">
      <w:start w:val="1"/>
      <w:numFmt w:val="bullet"/>
      <w:lvlText w:val="–"/>
      <w:lvlJc w:val="left"/>
      <w:pPr>
        <w:tabs>
          <w:tab w:val="num" w:pos="1060"/>
        </w:tabs>
        <w:ind w:left="1060" w:hanging="360"/>
      </w:pPr>
      <w:rPr>
        <w:rFonts w:hint="default"/>
      </w:rPr>
    </w:lvl>
  </w:abstractNum>
  <w:abstractNum w:abstractNumId="1">
    <w:nsid w:val="1B3E5735"/>
    <w:multiLevelType w:val="singleLevel"/>
    <w:tmpl w:val="C24C7A30"/>
    <w:lvl w:ilvl="0">
      <w:numFmt w:val="bullet"/>
      <w:lvlText w:val="-"/>
      <w:lvlJc w:val="left"/>
      <w:pPr>
        <w:tabs>
          <w:tab w:val="num" w:pos="1140"/>
        </w:tabs>
        <w:ind w:left="1140" w:hanging="360"/>
      </w:pPr>
      <w:rPr>
        <w:rFonts w:hint="default"/>
      </w:rPr>
    </w:lvl>
  </w:abstractNum>
  <w:abstractNum w:abstractNumId="2">
    <w:nsid w:val="21C83958"/>
    <w:multiLevelType w:val="singleLevel"/>
    <w:tmpl w:val="23862142"/>
    <w:lvl w:ilvl="0">
      <w:numFmt w:val="bullet"/>
      <w:lvlText w:val="–"/>
      <w:lvlJc w:val="left"/>
      <w:pPr>
        <w:tabs>
          <w:tab w:val="num" w:pos="1060"/>
        </w:tabs>
        <w:ind w:left="1060" w:hanging="360"/>
      </w:pPr>
      <w:rPr>
        <w:rFonts w:hint="default"/>
      </w:rPr>
    </w:lvl>
  </w:abstractNum>
  <w:abstractNum w:abstractNumId="3">
    <w:nsid w:val="226A7D63"/>
    <w:multiLevelType w:val="multilevel"/>
    <w:tmpl w:val="8B62B97C"/>
    <w:lvl w:ilvl="0">
      <w:start w:val="1"/>
      <w:numFmt w:val="decimal"/>
      <w:lvlText w:val="%1."/>
      <w:lvlJc w:val="left"/>
      <w:pPr>
        <w:tabs>
          <w:tab w:val="num" w:pos="1080"/>
        </w:tabs>
        <w:ind w:left="108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nsid w:val="67BA1F03"/>
    <w:multiLevelType w:val="multilevel"/>
    <w:tmpl w:val="CA7440CA"/>
    <w:lvl w:ilvl="0">
      <w:start w:val="2"/>
      <w:numFmt w:val="decimal"/>
      <w:lvlText w:val="%1."/>
      <w:lvlJc w:val="left"/>
      <w:pPr>
        <w:tabs>
          <w:tab w:val="num" w:pos="927"/>
        </w:tabs>
        <w:ind w:left="927" w:hanging="360"/>
      </w:pPr>
      <w:rPr>
        <w:rFonts w:hint="default"/>
      </w:rPr>
    </w:lvl>
    <w:lvl w:ilvl="1">
      <w:start w:val="1"/>
      <w:numFmt w:val="decimal"/>
      <w:isLgl/>
      <w:lvlText w:val="%1.%2."/>
      <w:lvlJc w:val="left"/>
      <w:pPr>
        <w:tabs>
          <w:tab w:val="num" w:pos="1047"/>
        </w:tabs>
        <w:ind w:left="1047" w:hanging="420"/>
      </w:pPr>
      <w:rPr>
        <w:rFonts w:hint="default"/>
      </w:rPr>
    </w:lvl>
    <w:lvl w:ilvl="2">
      <w:start w:val="1"/>
      <w:numFmt w:val="decimal"/>
      <w:isLgl/>
      <w:lvlText w:val="%1.%2.%3."/>
      <w:lvlJc w:val="left"/>
      <w:pPr>
        <w:tabs>
          <w:tab w:val="num" w:pos="1407"/>
        </w:tabs>
        <w:ind w:left="1407" w:hanging="720"/>
      </w:pPr>
      <w:rPr>
        <w:rFonts w:hint="default"/>
      </w:rPr>
    </w:lvl>
    <w:lvl w:ilvl="3">
      <w:start w:val="1"/>
      <w:numFmt w:val="decimal"/>
      <w:isLgl/>
      <w:lvlText w:val="%1.%2.%3.%4."/>
      <w:lvlJc w:val="left"/>
      <w:pPr>
        <w:tabs>
          <w:tab w:val="num" w:pos="1467"/>
        </w:tabs>
        <w:ind w:left="1467" w:hanging="720"/>
      </w:pPr>
      <w:rPr>
        <w:rFonts w:hint="default"/>
      </w:rPr>
    </w:lvl>
    <w:lvl w:ilvl="4">
      <w:start w:val="1"/>
      <w:numFmt w:val="decimal"/>
      <w:isLgl/>
      <w:lvlText w:val="%1.%2.%3.%4.%5."/>
      <w:lvlJc w:val="left"/>
      <w:pPr>
        <w:tabs>
          <w:tab w:val="num" w:pos="1887"/>
        </w:tabs>
        <w:ind w:left="1887" w:hanging="1080"/>
      </w:pPr>
      <w:rPr>
        <w:rFonts w:hint="default"/>
      </w:rPr>
    </w:lvl>
    <w:lvl w:ilvl="5">
      <w:start w:val="1"/>
      <w:numFmt w:val="decimal"/>
      <w:isLgl/>
      <w:lvlText w:val="%1.%2.%3.%4.%5.%6."/>
      <w:lvlJc w:val="left"/>
      <w:pPr>
        <w:tabs>
          <w:tab w:val="num" w:pos="1947"/>
        </w:tabs>
        <w:ind w:left="1947" w:hanging="1080"/>
      </w:pPr>
      <w:rPr>
        <w:rFonts w:hint="default"/>
      </w:rPr>
    </w:lvl>
    <w:lvl w:ilvl="6">
      <w:start w:val="1"/>
      <w:numFmt w:val="decimal"/>
      <w:isLgl/>
      <w:lvlText w:val="%1.%2.%3.%4.%5.%6.%7."/>
      <w:lvlJc w:val="left"/>
      <w:pPr>
        <w:tabs>
          <w:tab w:val="num" w:pos="2367"/>
        </w:tabs>
        <w:ind w:left="2367" w:hanging="1440"/>
      </w:pPr>
      <w:rPr>
        <w:rFonts w:hint="default"/>
      </w:rPr>
    </w:lvl>
    <w:lvl w:ilvl="7">
      <w:start w:val="1"/>
      <w:numFmt w:val="decimal"/>
      <w:isLgl/>
      <w:lvlText w:val="%1.%2.%3.%4.%5.%6.%7.%8."/>
      <w:lvlJc w:val="left"/>
      <w:pPr>
        <w:tabs>
          <w:tab w:val="num" w:pos="2427"/>
        </w:tabs>
        <w:ind w:left="2427" w:hanging="1440"/>
      </w:pPr>
      <w:rPr>
        <w:rFonts w:hint="default"/>
      </w:rPr>
    </w:lvl>
    <w:lvl w:ilvl="8">
      <w:start w:val="1"/>
      <w:numFmt w:val="decimal"/>
      <w:isLgl/>
      <w:lvlText w:val="%1.%2.%3.%4.%5.%6.%7.%8.%9."/>
      <w:lvlJc w:val="left"/>
      <w:pPr>
        <w:tabs>
          <w:tab w:val="num" w:pos="2847"/>
        </w:tabs>
        <w:ind w:left="2847" w:hanging="1800"/>
      </w:pPr>
      <w:rPr>
        <w:rFonts w:hint="default"/>
      </w:rPr>
    </w:lvl>
  </w:abstractNum>
  <w:abstractNum w:abstractNumId="5">
    <w:nsid w:val="77C21016"/>
    <w:multiLevelType w:val="multilevel"/>
    <w:tmpl w:val="C7964884"/>
    <w:lvl w:ilvl="0">
      <w:start w:val="3"/>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
    <w:nsid w:val="79F6276D"/>
    <w:multiLevelType w:val="singleLevel"/>
    <w:tmpl w:val="7E9A3E70"/>
    <w:lvl w:ilvl="0">
      <w:numFmt w:val="bullet"/>
      <w:lvlText w:val="-"/>
      <w:lvlJc w:val="left"/>
      <w:pPr>
        <w:tabs>
          <w:tab w:val="num" w:pos="927"/>
        </w:tabs>
        <w:ind w:left="927" w:hanging="360"/>
      </w:pPr>
      <w:rPr>
        <w:rFonts w:hint="default"/>
      </w:rPr>
    </w:lvl>
  </w:abstractNum>
  <w:abstractNum w:abstractNumId="7">
    <w:nsid w:val="7CF35B23"/>
    <w:multiLevelType w:val="singleLevel"/>
    <w:tmpl w:val="340640D2"/>
    <w:lvl w:ilvl="0">
      <w:start w:val="5"/>
      <w:numFmt w:val="decimal"/>
      <w:lvlText w:val="%1."/>
      <w:lvlJc w:val="left"/>
      <w:pPr>
        <w:tabs>
          <w:tab w:val="num" w:pos="1068"/>
        </w:tabs>
        <w:ind w:left="1068" w:hanging="360"/>
      </w:pPr>
      <w:rPr>
        <w:rFonts w:hint="default"/>
      </w:rPr>
    </w:lvl>
  </w:abstractNum>
  <w:num w:numId="1">
    <w:abstractNumId w:val="3"/>
  </w:num>
  <w:num w:numId="2">
    <w:abstractNumId w:val="6"/>
  </w:num>
  <w:num w:numId="3">
    <w:abstractNumId w:val="1"/>
  </w:num>
  <w:num w:numId="4">
    <w:abstractNumId w:val="4"/>
  </w:num>
  <w:num w:numId="5">
    <w:abstractNumId w:val="7"/>
  </w:num>
  <w:num w:numId="6">
    <w:abstractNumId w:val="5"/>
  </w:num>
  <w:num w:numId="7">
    <w:abstractNumId w:val="3"/>
    <w:lvlOverride w:ilvl="0">
      <w:startOverride w:val="5"/>
    </w:lvlOverride>
  </w:num>
  <w:num w:numId="8">
    <w:abstractNumId w:val="2"/>
  </w:num>
  <w:num w:numId="9">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48"/>
  <w:embedSystemFonts/>
  <w:defaultTabStop w:val="708"/>
  <w:doNotHyphenateCaps/>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footnotePr>
    <w:footnote w:id="0"/>
    <w:footnote w:id="1"/>
  </w:footnotePr>
  <w:endnotePr>
    <w:endnote w:id="0"/>
    <w:endnote w:id="1"/>
  </w:endnotePr>
  <w:compat>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B71BC0"/>
    <w:rsid w:val="00B71BC0"/>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semiHidden="0" w:unhideWhenUsed="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nhideWhenUsed="0"/>
    <w:lsdException w:name="footer" w:unhideWhenUsed="0"/>
    <w:lsdException w:name="caption" w:uiPriority="35" w:qFormat="1"/>
    <w:lsdException w:name="page number" w:unhideWhenUsed="0"/>
    <w:lsdException w:name="Title" w:semiHidden="0" w:uiPriority="10" w:unhideWhenUsed="0" w:qFormat="1"/>
    <w:lsdException w:name="Default Paragraph Font" w:unhideWhenUsed="0"/>
    <w:lsdException w:name="Body Text" w:unhideWhenUsed="0"/>
    <w:lsdException w:name="Body Text Indent" w:unhideWhenUsed="0"/>
    <w:lsdException w:name="Subtitle" w:semiHidden="0" w:uiPriority="11" w:unhideWhenUsed="0" w:qFormat="1"/>
    <w:lsdException w:name="Body Text 2" w:unhideWhenUsed="0"/>
    <w:lsdException w:name="Body Text Indent 2" w:unhideWhenUsed="0"/>
    <w:lsdException w:name="Body Text Indent 3" w:unhideWhenUsed="0"/>
    <w:lsdException w:name="Strong" w:semiHidden="0" w:uiPriority="22" w:unhideWhenUsed="0" w:qFormat="1"/>
    <w:lsdException w:name="Emphasis" w:semiHidden="0" w:uiPriority="20" w:unhideWhenUsed="0" w:qFormat="1"/>
    <w:lsdException w:name="Balloon Text"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autoSpaceDE w:val="0"/>
      <w:autoSpaceDN w:val="0"/>
    </w:pPr>
    <w:rPr>
      <w:rFonts w:ascii="Times New Roman" w:hAnsi="Times New Roman" w:cs="Times New Roman"/>
      <w:sz w:val="20"/>
      <w:szCs w:val="20"/>
    </w:rPr>
  </w:style>
  <w:style w:type="paragraph" w:styleId="Heading1">
    <w:name w:val="heading 1"/>
    <w:basedOn w:val="Normal"/>
    <w:next w:val="Normal"/>
    <w:link w:val="Heading1Char"/>
    <w:uiPriority w:val="99"/>
    <w:qFormat/>
    <w:pPr>
      <w:keepNext/>
      <w:tabs>
        <w:tab w:val="num" w:pos="-2000"/>
      </w:tabs>
      <w:spacing w:line="360" w:lineRule="auto"/>
      <w:ind w:firstLine="708"/>
      <w:jc w:val="both"/>
      <w:outlineLvl w:val="0"/>
    </w:pPr>
    <w:rPr>
      <w:sz w:val="24"/>
      <w:szCs w:val="24"/>
    </w:rPr>
  </w:style>
  <w:style w:type="paragraph" w:styleId="Heading6">
    <w:name w:val="heading 6"/>
    <w:basedOn w:val="Normal"/>
    <w:next w:val="Normal"/>
    <w:link w:val="Heading6Char"/>
    <w:uiPriority w:val="99"/>
    <w:qFormat/>
    <w:pPr>
      <w:keepNext/>
      <w:ind w:left="360"/>
      <w:outlineLvl w:val="5"/>
    </w:pPr>
    <w:rPr>
      <w:sz w:val="24"/>
      <w:szCs w:val="24"/>
    </w:rPr>
  </w:style>
  <w:style w:type="character" w:default="1" w:styleId="DefaultParagraphFont">
    <w:name w:val="Default Paragraph Font"/>
    <w:uiPriority w:val="99"/>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71BC0"/>
    <w:rPr>
      <w:rFonts w:asciiTheme="majorHAnsi" w:eastAsiaTheme="majorEastAsia" w:hAnsiTheme="majorHAnsi" w:cstheme="majorBidi"/>
      <w:b/>
      <w:bCs/>
      <w:kern w:val="32"/>
      <w:sz w:val="32"/>
      <w:szCs w:val="32"/>
    </w:rPr>
  </w:style>
  <w:style w:type="character" w:customStyle="1" w:styleId="Heading6Char">
    <w:name w:val="Heading 6 Char"/>
    <w:basedOn w:val="DefaultParagraphFont"/>
    <w:link w:val="Heading6"/>
    <w:uiPriority w:val="9"/>
    <w:semiHidden/>
    <w:rsid w:val="00B71BC0"/>
    <w:rPr>
      <w:b/>
      <w:bCs/>
    </w:rPr>
  </w:style>
  <w:style w:type="paragraph" w:styleId="BodyText">
    <w:name w:val="Body Text"/>
    <w:basedOn w:val="Normal"/>
    <w:link w:val="BodyTextChar"/>
    <w:uiPriority w:val="99"/>
    <w:pPr>
      <w:ind w:right="565"/>
      <w:jc w:val="center"/>
    </w:pPr>
    <w:rPr>
      <w:b/>
      <w:bCs/>
      <w:sz w:val="40"/>
      <w:szCs w:val="40"/>
    </w:rPr>
  </w:style>
  <w:style w:type="character" w:customStyle="1" w:styleId="BodyTextChar">
    <w:name w:val="Body Text Char"/>
    <w:basedOn w:val="DefaultParagraphFont"/>
    <w:link w:val="BodyText"/>
    <w:uiPriority w:val="99"/>
    <w:semiHidden/>
    <w:rsid w:val="00B71BC0"/>
    <w:rPr>
      <w:rFonts w:ascii="Times New Roman" w:hAnsi="Times New Roman" w:cs="Times New Roman"/>
      <w:sz w:val="20"/>
      <w:szCs w:val="20"/>
    </w:rPr>
  </w:style>
  <w:style w:type="paragraph" w:styleId="BodyTextIndent">
    <w:name w:val="Body Text Indent"/>
    <w:basedOn w:val="Normal"/>
    <w:link w:val="BodyTextIndentChar"/>
    <w:uiPriority w:val="99"/>
    <w:pPr>
      <w:ind w:right="565" w:firstLine="720"/>
      <w:jc w:val="both"/>
    </w:pPr>
    <w:rPr>
      <w:b/>
      <w:bCs/>
      <w:sz w:val="24"/>
      <w:szCs w:val="24"/>
      <w:lang w:val="en-US"/>
    </w:rPr>
  </w:style>
  <w:style w:type="character" w:customStyle="1" w:styleId="BodyTextIndentChar">
    <w:name w:val="Body Text Indent Char"/>
    <w:basedOn w:val="DefaultParagraphFont"/>
    <w:link w:val="BodyTextIndent"/>
    <w:uiPriority w:val="99"/>
    <w:semiHidden/>
    <w:rsid w:val="00B71BC0"/>
    <w:rPr>
      <w:rFonts w:ascii="Times New Roman" w:hAnsi="Times New Roman" w:cs="Times New Roman"/>
      <w:sz w:val="20"/>
      <w:szCs w:val="20"/>
    </w:rPr>
  </w:style>
  <w:style w:type="paragraph" w:styleId="Footer">
    <w:name w:val="footer"/>
    <w:basedOn w:val="Normal"/>
    <w:link w:val="FooterChar"/>
    <w:uiPriority w:val="99"/>
    <w:pPr>
      <w:tabs>
        <w:tab w:val="center" w:pos="4153"/>
        <w:tab w:val="right" w:pos="8306"/>
      </w:tabs>
    </w:pPr>
  </w:style>
  <w:style w:type="character" w:customStyle="1" w:styleId="FooterChar">
    <w:name w:val="Footer Char"/>
    <w:basedOn w:val="DefaultParagraphFont"/>
    <w:link w:val="Footer"/>
    <w:uiPriority w:val="99"/>
    <w:semiHidden/>
    <w:rsid w:val="00B71BC0"/>
    <w:rPr>
      <w:rFonts w:ascii="Times New Roman" w:hAnsi="Times New Roman" w:cs="Times New Roman"/>
      <w:sz w:val="20"/>
      <w:szCs w:val="20"/>
    </w:rPr>
  </w:style>
  <w:style w:type="character" w:styleId="PageNumber">
    <w:name w:val="page number"/>
    <w:basedOn w:val="DefaultParagraphFont"/>
    <w:uiPriority w:val="99"/>
  </w:style>
  <w:style w:type="paragraph" w:customStyle="1" w:styleId="ConsNormal">
    <w:name w:val="ConsNormal"/>
    <w:uiPriority w:val="99"/>
    <w:pPr>
      <w:autoSpaceDE w:val="0"/>
      <w:autoSpaceDN w:val="0"/>
      <w:ind w:firstLine="720"/>
    </w:pPr>
    <w:rPr>
      <w:rFonts w:ascii="Arial" w:hAnsi="Arial" w:cs="Arial"/>
    </w:rPr>
  </w:style>
  <w:style w:type="paragraph" w:styleId="BodyTextIndent2">
    <w:name w:val="Body Text Indent 2"/>
    <w:basedOn w:val="Normal"/>
    <w:link w:val="BodyTextIndent2Char"/>
    <w:uiPriority w:val="99"/>
    <w:pPr>
      <w:spacing w:line="360" w:lineRule="auto"/>
      <w:ind w:firstLine="709"/>
      <w:jc w:val="both"/>
    </w:pPr>
    <w:rPr>
      <w:color w:val="000000"/>
      <w:sz w:val="24"/>
      <w:szCs w:val="24"/>
    </w:rPr>
  </w:style>
  <w:style w:type="character" w:customStyle="1" w:styleId="BodyTextIndent2Char">
    <w:name w:val="Body Text Indent 2 Char"/>
    <w:basedOn w:val="DefaultParagraphFont"/>
    <w:link w:val="BodyTextIndent2"/>
    <w:uiPriority w:val="99"/>
    <w:semiHidden/>
    <w:rsid w:val="00B71BC0"/>
    <w:rPr>
      <w:rFonts w:ascii="Times New Roman" w:hAnsi="Times New Roman" w:cs="Times New Roman"/>
      <w:sz w:val="20"/>
      <w:szCs w:val="20"/>
    </w:rPr>
  </w:style>
  <w:style w:type="paragraph" w:styleId="BodyTextIndent3">
    <w:name w:val="Body Text Indent 3"/>
    <w:basedOn w:val="Normal"/>
    <w:link w:val="BodyTextIndent3Char"/>
    <w:uiPriority w:val="99"/>
    <w:pPr>
      <w:spacing w:line="360" w:lineRule="auto"/>
      <w:ind w:firstLine="709"/>
      <w:jc w:val="both"/>
    </w:pPr>
    <w:rPr>
      <w:sz w:val="24"/>
      <w:szCs w:val="24"/>
    </w:rPr>
  </w:style>
  <w:style w:type="character" w:customStyle="1" w:styleId="BodyTextIndent3Char">
    <w:name w:val="Body Text Indent 3 Char"/>
    <w:basedOn w:val="DefaultParagraphFont"/>
    <w:link w:val="BodyTextIndent3"/>
    <w:uiPriority w:val="99"/>
    <w:semiHidden/>
    <w:rsid w:val="00B71BC0"/>
    <w:rPr>
      <w:rFonts w:ascii="Times New Roman" w:hAnsi="Times New Roman" w:cs="Times New Roman"/>
      <w:sz w:val="16"/>
      <w:szCs w:val="16"/>
    </w:rPr>
  </w:style>
  <w:style w:type="paragraph" w:customStyle="1" w:styleId="ConsPlusTitle">
    <w:name w:val="ConsPlusTitle"/>
    <w:uiPriority w:val="99"/>
    <w:pPr>
      <w:autoSpaceDE w:val="0"/>
      <w:autoSpaceDN w:val="0"/>
    </w:pPr>
    <w:rPr>
      <w:rFonts w:ascii="Times New Roman" w:hAnsi="Times New Roman" w:cs="Times New Roman"/>
      <w:b/>
      <w:bCs/>
      <w:sz w:val="28"/>
      <w:szCs w:val="28"/>
    </w:rPr>
  </w:style>
  <w:style w:type="paragraph" w:styleId="Header">
    <w:name w:val="header"/>
    <w:basedOn w:val="Normal"/>
    <w:link w:val="HeaderChar"/>
    <w:uiPriority w:val="99"/>
    <w:pPr>
      <w:tabs>
        <w:tab w:val="center" w:pos="4153"/>
        <w:tab w:val="right" w:pos="8306"/>
      </w:tabs>
    </w:pPr>
  </w:style>
  <w:style w:type="character" w:customStyle="1" w:styleId="HeaderChar">
    <w:name w:val="Header Char"/>
    <w:basedOn w:val="DefaultParagraphFont"/>
    <w:link w:val="Header"/>
    <w:uiPriority w:val="99"/>
    <w:semiHidden/>
    <w:rsid w:val="00B71BC0"/>
    <w:rPr>
      <w:rFonts w:ascii="Times New Roman" w:hAnsi="Times New Roman" w:cs="Times New Roman"/>
      <w:sz w:val="20"/>
      <w:szCs w:val="20"/>
    </w:rPr>
  </w:style>
  <w:style w:type="paragraph" w:customStyle="1" w:styleId="a">
    <w:name w:val="Îáû÷íûé"/>
    <w:uiPriority w:val="99"/>
    <w:pPr>
      <w:autoSpaceDE w:val="0"/>
      <w:autoSpaceDN w:val="0"/>
    </w:pPr>
    <w:rPr>
      <w:rFonts w:ascii="Times New Roman" w:hAnsi="Times New Roman" w:cs="Times New Roman"/>
      <w:sz w:val="24"/>
      <w:szCs w:val="24"/>
    </w:rPr>
  </w:style>
  <w:style w:type="paragraph" w:customStyle="1" w:styleId="1">
    <w:name w:val="Обычный (веб)1"/>
    <w:uiPriority w:val="99"/>
    <w:pPr>
      <w:autoSpaceDE w:val="0"/>
      <w:autoSpaceDN w:val="0"/>
    </w:pPr>
    <w:rPr>
      <w:rFonts w:ascii="Times New Roman" w:hAnsi="Times New Roman" w:cs="Times New Roman"/>
      <w:sz w:val="24"/>
      <w:szCs w:val="24"/>
    </w:rPr>
  </w:style>
  <w:style w:type="paragraph" w:styleId="BodyText2">
    <w:name w:val="Body Text 2"/>
    <w:basedOn w:val="Normal"/>
    <w:link w:val="BodyText2Char"/>
    <w:uiPriority w:val="99"/>
    <w:pPr>
      <w:spacing w:after="120" w:line="480" w:lineRule="auto"/>
    </w:pPr>
  </w:style>
  <w:style w:type="character" w:customStyle="1" w:styleId="BodyText2Char">
    <w:name w:val="Body Text 2 Char"/>
    <w:basedOn w:val="DefaultParagraphFont"/>
    <w:link w:val="BodyText2"/>
    <w:uiPriority w:val="99"/>
    <w:semiHidden/>
    <w:rsid w:val="00B71BC0"/>
    <w:rPr>
      <w:rFonts w:ascii="Times New Roman" w:hAnsi="Times New Roman" w:cs="Times New Roman"/>
      <w:sz w:val="20"/>
      <w:szCs w:val="20"/>
    </w:rPr>
  </w:style>
  <w:style w:type="paragraph" w:customStyle="1" w:styleId="Style4">
    <w:name w:val="Style4"/>
    <w:uiPriority w:val="99"/>
    <w:pPr>
      <w:widowControl w:val="0"/>
      <w:autoSpaceDE w:val="0"/>
      <w:autoSpaceDN w:val="0"/>
      <w:spacing w:line="238" w:lineRule="exact"/>
      <w:ind w:firstLine="497"/>
      <w:jc w:val="both"/>
    </w:pPr>
    <w:rPr>
      <w:rFonts w:ascii="Arial Black" w:hAnsi="Arial Black" w:cs="Arial Black"/>
      <w:sz w:val="24"/>
      <w:szCs w:val="24"/>
    </w:rPr>
  </w:style>
  <w:style w:type="paragraph" w:customStyle="1" w:styleId="Style7">
    <w:name w:val="Style7"/>
    <w:uiPriority w:val="99"/>
    <w:pPr>
      <w:widowControl w:val="0"/>
      <w:autoSpaceDE w:val="0"/>
      <w:autoSpaceDN w:val="0"/>
      <w:spacing w:line="223" w:lineRule="exact"/>
      <w:ind w:firstLine="504"/>
      <w:jc w:val="both"/>
    </w:pPr>
    <w:rPr>
      <w:rFonts w:ascii="Arial Black" w:hAnsi="Arial Black" w:cs="Arial Black"/>
      <w:sz w:val="24"/>
      <w:szCs w:val="24"/>
    </w:rPr>
  </w:style>
  <w:style w:type="character" w:customStyle="1" w:styleId="FontStyle14">
    <w:name w:val="Font Style14"/>
    <w:uiPriority w:val="99"/>
    <w:rPr>
      <w:rFonts w:ascii="Arial" w:hAnsi="Arial" w:cs="Arial"/>
      <w:sz w:val="18"/>
      <w:szCs w:val="18"/>
    </w:rPr>
  </w:style>
  <w:style w:type="paragraph" w:customStyle="1" w:styleId="ConsPlusNonformat">
    <w:name w:val="ConsPlusNonformat"/>
    <w:uiPriority w:val="99"/>
    <w:pPr>
      <w:widowControl w:val="0"/>
      <w:autoSpaceDE w:val="0"/>
      <w:autoSpaceDN w:val="0"/>
    </w:pPr>
    <w:rPr>
      <w:rFonts w:ascii="Courier New" w:hAnsi="Courier New" w:cs="Courier New"/>
      <w:sz w:val="20"/>
      <w:szCs w:val="20"/>
    </w:rPr>
  </w:style>
  <w:style w:type="paragraph" w:styleId="BalloonText">
    <w:name w:val="Balloon Text"/>
    <w:basedOn w:val="Normal"/>
    <w:link w:val="BalloonTextChar"/>
    <w:uiPriority w:val="99"/>
    <w:rPr>
      <w:rFonts w:ascii="Tahoma" w:hAnsi="Tahoma" w:cs="Tahoma"/>
      <w:sz w:val="16"/>
      <w:szCs w:val="16"/>
    </w:rPr>
  </w:style>
  <w:style w:type="character" w:customStyle="1" w:styleId="BalloonTextChar">
    <w:name w:val="Balloon Text Char"/>
    <w:basedOn w:val="DefaultParagraphFont"/>
    <w:link w:val="BalloonText"/>
    <w:uiPriority w:val="99"/>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TotalTime>
  <Pages>4</Pages>
  <Words>1397</Words>
  <Characters>7967</Characters>
  <Application>Microsoft Office Outlook</Application>
  <DocSecurity>0</DocSecurity>
  <Lines>0</Lines>
  <Paragraphs>0</Paragraphs>
  <ScaleCrop>false</ScaleCrop>
  <Company>Organization</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subject/>
  <dc:creator>Name</dc:creator>
  <cp:keywords/>
  <dc:description/>
  <cp:lastModifiedBy>Mironova</cp:lastModifiedBy>
  <cp:revision>2</cp:revision>
  <cp:lastPrinted>2011-04-07T07:02:00Z</cp:lastPrinted>
  <dcterms:created xsi:type="dcterms:W3CDTF">2012-06-20T16:07:00Z</dcterms:created>
  <dcterms:modified xsi:type="dcterms:W3CDTF">2012-06-20T16:07:00Z</dcterms:modified>
</cp:coreProperties>
</file>