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10" w:rsidRPr="00190AAD" w:rsidRDefault="002E4A29" w:rsidP="009556D6">
      <w:pPr>
        <w:ind w:right="394"/>
        <w:jc w:val="center"/>
        <w:rPr>
          <w:i/>
        </w:rPr>
      </w:pPr>
      <w:proofErr w:type="gramStart"/>
      <w:r w:rsidRPr="00190AAD">
        <w:rPr>
          <w:i/>
        </w:rPr>
        <w:t xml:space="preserve">Рекомендации по исполнению требований Решения </w:t>
      </w:r>
      <w:r w:rsidR="009556D6" w:rsidRPr="00190AAD">
        <w:rPr>
          <w:i/>
        </w:rPr>
        <w:t>Совета директоров Банка России от 26.12.2023 об установлении порядка и сроков взаимодействия управляющих компаний паевых инвестиционных фондов с организатором торгов в целях совершения сделок (операций) с иностранными ценными бумагами и сделок (операций), необходимых для их совершения, а также требований к деятельности управляющих компаний паевых инвестиционных фондов, специализированных депозитариев паевых инвестиционных фондов, профессиональных участников рынка ценных</w:t>
      </w:r>
      <w:proofErr w:type="gramEnd"/>
      <w:r w:rsidR="009556D6" w:rsidRPr="00190AAD">
        <w:rPr>
          <w:i/>
        </w:rPr>
        <w:t xml:space="preserve"> бумаг, осуществляющих деятельность по управлению ценными бумагами, деятельность по ведению реестра и депозитарную деятельность в части совершения таких сделок (операций)</w:t>
      </w:r>
      <w:r w:rsidRPr="00190AAD">
        <w:rPr>
          <w:i/>
        </w:rPr>
        <w:t xml:space="preserve"> (далее – Решение</w:t>
      </w:r>
      <w:r w:rsidR="00BB523E" w:rsidRPr="00190AAD">
        <w:rPr>
          <w:i/>
        </w:rPr>
        <w:t xml:space="preserve"> СД БР</w:t>
      </w:r>
      <w:r w:rsidR="00431A3C">
        <w:rPr>
          <w:i/>
        </w:rPr>
        <w:t xml:space="preserve"> от 26.12.2023</w:t>
      </w:r>
      <w:r w:rsidRPr="00190AAD">
        <w:rPr>
          <w:i/>
        </w:rPr>
        <w:t>)</w:t>
      </w: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2127"/>
        <w:gridCol w:w="5670"/>
        <w:gridCol w:w="6378"/>
      </w:tblGrid>
      <w:tr w:rsidR="002E4A29" w:rsidRPr="00D758B7" w:rsidTr="005771D4">
        <w:trPr>
          <w:trHeight w:val="642"/>
        </w:trPr>
        <w:tc>
          <w:tcPr>
            <w:tcW w:w="675" w:type="dxa"/>
            <w:shd w:val="clear" w:color="auto" w:fill="D9E2F3" w:themeFill="accent5" w:themeFillTint="33"/>
          </w:tcPr>
          <w:p w:rsidR="002E4A29" w:rsidRPr="0051132F" w:rsidRDefault="002E4A29" w:rsidP="006B2610">
            <w:pPr>
              <w:jc w:val="center"/>
              <w:rPr>
                <w:rFonts w:cstheme="minorHAnsi"/>
              </w:rPr>
            </w:pPr>
            <w:r w:rsidRPr="0051132F">
              <w:rPr>
                <w:rFonts w:cstheme="minorHAnsi"/>
                <w:b/>
              </w:rPr>
              <w:t xml:space="preserve">№ </w:t>
            </w:r>
            <w:proofErr w:type="spellStart"/>
            <w:proofErr w:type="gramStart"/>
            <w:r w:rsidRPr="0051132F">
              <w:rPr>
                <w:rFonts w:cstheme="minorHAnsi"/>
                <w:b/>
              </w:rPr>
              <w:t>п</w:t>
            </w:r>
            <w:proofErr w:type="spellEnd"/>
            <w:proofErr w:type="gramEnd"/>
            <w:r w:rsidRPr="0051132F">
              <w:rPr>
                <w:rFonts w:cstheme="minorHAnsi"/>
                <w:b/>
              </w:rPr>
              <w:t>/</w:t>
            </w:r>
            <w:proofErr w:type="spellStart"/>
            <w:r w:rsidRPr="0051132F">
              <w:rPr>
                <w:rFonts w:cstheme="minorHAnsi"/>
                <w:b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:rsidR="002E4A29" w:rsidRPr="0051132F" w:rsidRDefault="00650229" w:rsidP="00BB52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Предмет</w:t>
            </w:r>
            <w:r w:rsidR="00BB523E" w:rsidRPr="0051132F">
              <w:rPr>
                <w:rFonts w:cstheme="minorHAnsi"/>
                <w:b/>
              </w:rPr>
              <w:t xml:space="preserve"> </w:t>
            </w:r>
            <w:r w:rsidR="0051132F" w:rsidRPr="0051132F">
              <w:rPr>
                <w:rFonts w:cstheme="minorHAnsi"/>
                <w:b/>
              </w:rPr>
              <w:t>рекомендации</w:t>
            </w:r>
          </w:p>
        </w:tc>
        <w:tc>
          <w:tcPr>
            <w:tcW w:w="5670" w:type="dxa"/>
            <w:shd w:val="clear" w:color="auto" w:fill="D9E2F3" w:themeFill="accent5" w:themeFillTint="33"/>
            <w:vAlign w:val="center"/>
          </w:tcPr>
          <w:p w:rsidR="002E4A29" w:rsidRPr="0051132F" w:rsidRDefault="002E4A29" w:rsidP="00F60B4D">
            <w:pPr>
              <w:jc w:val="center"/>
              <w:rPr>
                <w:rFonts w:cstheme="minorHAnsi"/>
                <w:b/>
              </w:rPr>
            </w:pPr>
            <w:r w:rsidRPr="0051132F">
              <w:rPr>
                <w:rFonts w:cstheme="minorHAnsi"/>
                <w:b/>
              </w:rPr>
              <w:t>Текст Решения</w:t>
            </w:r>
            <w:r w:rsidR="00BB523E" w:rsidRPr="0051132F">
              <w:rPr>
                <w:rFonts w:cstheme="minorHAnsi"/>
                <w:b/>
              </w:rPr>
              <w:t xml:space="preserve"> СД БР</w:t>
            </w:r>
          </w:p>
        </w:tc>
        <w:tc>
          <w:tcPr>
            <w:tcW w:w="6378" w:type="dxa"/>
            <w:shd w:val="clear" w:color="auto" w:fill="D9E2F3" w:themeFill="accent5" w:themeFillTint="33"/>
            <w:vAlign w:val="center"/>
          </w:tcPr>
          <w:p w:rsidR="002E4A29" w:rsidRPr="0051132F" w:rsidRDefault="002E4A29" w:rsidP="006B2610">
            <w:pPr>
              <w:jc w:val="center"/>
              <w:rPr>
                <w:rFonts w:cstheme="minorHAnsi"/>
                <w:b/>
              </w:rPr>
            </w:pPr>
            <w:r w:rsidRPr="0051132F">
              <w:rPr>
                <w:rFonts w:cstheme="minorHAnsi"/>
                <w:b/>
              </w:rPr>
              <w:t>Рекомендаци</w:t>
            </w:r>
            <w:r w:rsidR="0051132F">
              <w:rPr>
                <w:rFonts w:cstheme="minorHAnsi"/>
                <w:b/>
              </w:rPr>
              <w:t>я</w:t>
            </w:r>
          </w:p>
        </w:tc>
      </w:tr>
      <w:tr w:rsidR="002E4A29" w:rsidRPr="00D758B7" w:rsidTr="005771D4">
        <w:tc>
          <w:tcPr>
            <w:tcW w:w="675" w:type="dxa"/>
          </w:tcPr>
          <w:p w:rsidR="002E4A29" w:rsidRPr="0051132F" w:rsidRDefault="002E4A29" w:rsidP="006B2610">
            <w:pPr>
              <w:jc w:val="center"/>
              <w:rPr>
                <w:rFonts w:cstheme="minorHAnsi"/>
              </w:rPr>
            </w:pPr>
            <w:r w:rsidRPr="0051132F">
              <w:rPr>
                <w:rFonts w:cstheme="minorHAnsi"/>
              </w:rPr>
              <w:t>1.</w:t>
            </w:r>
          </w:p>
        </w:tc>
        <w:tc>
          <w:tcPr>
            <w:tcW w:w="2127" w:type="dxa"/>
          </w:tcPr>
          <w:p w:rsidR="002E4A29" w:rsidRPr="00F60B4D" w:rsidRDefault="002E4A29" w:rsidP="00F60B4D">
            <w:pPr>
              <w:rPr>
                <w:b/>
                <w:color w:val="1F4E79" w:themeColor="accent1" w:themeShade="80"/>
              </w:rPr>
            </w:pPr>
            <w:r w:rsidRPr="00F60B4D">
              <w:rPr>
                <w:b/>
                <w:color w:val="1F4E79" w:themeColor="accent1" w:themeShade="80"/>
              </w:rPr>
              <w:t>Владельцы</w:t>
            </w:r>
            <w:r w:rsidR="009E6EAA">
              <w:rPr>
                <w:b/>
                <w:color w:val="1F4E79" w:themeColor="accent1" w:themeShade="80"/>
              </w:rPr>
              <w:t xml:space="preserve"> инвестиционных</w:t>
            </w:r>
            <w:r w:rsidRPr="00F60B4D">
              <w:rPr>
                <w:b/>
                <w:color w:val="1F4E79" w:themeColor="accent1" w:themeShade="80"/>
              </w:rPr>
              <w:t xml:space="preserve"> паев, имеющие право на участие в Сделках</w:t>
            </w:r>
          </w:p>
        </w:tc>
        <w:tc>
          <w:tcPr>
            <w:tcW w:w="5670" w:type="dxa"/>
          </w:tcPr>
          <w:p w:rsidR="002E4A29" w:rsidRPr="001D091E" w:rsidRDefault="002E4A29" w:rsidP="00BB523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1D091E">
              <w:rPr>
                <w:rFonts w:eastAsia="Times New Roman" w:cs="Times New Roman"/>
                <w:iCs/>
                <w:lang w:eastAsia="ru-RU"/>
              </w:rPr>
              <w:t>1.2. Управляющая компания не позднее 20 рабочих дней, следующих за днем получения от депозитария информации о проведении Торгов, совершает следующие действия.</w:t>
            </w:r>
          </w:p>
          <w:p w:rsidR="002E4A29" w:rsidRPr="001D091E" w:rsidRDefault="002E4A29" w:rsidP="00BB523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1D091E">
              <w:rPr>
                <w:rFonts w:eastAsia="Times New Roman" w:cs="Times New Roman"/>
                <w:iCs/>
                <w:lang w:eastAsia="ru-RU"/>
              </w:rPr>
              <w:t xml:space="preserve">1.2.1. </w:t>
            </w:r>
            <w:proofErr w:type="gramStart"/>
            <w:r w:rsidRPr="001D091E">
              <w:rPr>
                <w:rFonts w:eastAsia="Times New Roman" w:cs="Times New Roman"/>
                <w:iCs/>
                <w:lang w:eastAsia="ru-RU"/>
              </w:rPr>
              <w:t xml:space="preserve">Направляет лицу, осуществляющему ведение реестра владельцев инвестиционных паев фонда (далее </w:t>
            </w:r>
            <w:r w:rsidR="0051132F" w:rsidRPr="0051132F">
              <w:t>–</w:t>
            </w:r>
            <w:r w:rsidRPr="001D091E">
              <w:rPr>
                <w:rFonts w:eastAsia="Times New Roman" w:cs="Times New Roman"/>
                <w:iCs/>
                <w:lang w:eastAsia="ru-RU"/>
              </w:rPr>
              <w:t xml:space="preserve"> регистратор фонда), требование о составлении списка владельцев инвестиционных паев фонда (далее </w:t>
            </w:r>
            <w:r w:rsidR="0051132F" w:rsidRPr="0051132F">
              <w:t>–</w:t>
            </w:r>
            <w:r w:rsidRPr="001D091E">
              <w:rPr>
                <w:rFonts w:eastAsia="Times New Roman" w:cs="Times New Roman"/>
                <w:iCs/>
                <w:lang w:eastAsia="ru-RU"/>
              </w:rPr>
              <w:t xml:space="preserve"> Список) </w:t>
            </w:r>
            <w:r w:rsidRPr="001D091E">
              <w:rPr>
                <w:rFonts w:eastAsia="Times New Roman" w:cs="Times New Roman"/>
                <w:b/>
                <w:iCs/>
                <w:lang w:eastAsia="ru-RU"/>
              </w:rPr>
              <w:t>на дату, которая не может быть ранее 3 и позднее 5 рабочих дней с даты получения управляющей компанией от депозитария информации о проведении Торгов</w:t>
            </w:r>
            <w:r w:rsidRPr="001D091E">
              <w:rPr>
                <w:rFonts w:eastAsia="Times New Roman" w:cs="Times New Roman"/>
                <w:iCs/>
                <w:lang w:eastAsia="ru-RU"/>
              </w:rPr>
              <w:t>, с приложением информации о Лимите погашения инвестиционных паев.</w:t>
            </w:r>
            <w:proofErr w:type="gramEnd"/>
          </w:p>
          <w:p w:rsidR="002E4A29" w:rsidRPr="00BB523E" w:rsidRDefault="002E4A29" w:rsidP="00BB523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1D091E">
              <w:rPr>
                <w:rFonts w:eastAsia="Times New Roman" w:cs="Times New Roman"/>
                <w:iCs/>
                <w:lang w:eastAsia="ru-RU"/>
              </w:rPr>
              <w:t xml:space="preserve">1.6. Регистратор фонда </w:t>
            </w:r>
            <w:r w:rsidRPr="001D091E">
              <w:rPr>
                <w:rFonts w:eastAsia="Times New Roman" w:cs="Times New Roman"/>
                <w:b/>
                <w:iCs/>
                <w:lang w:eastAsia="ru-RU"/>
              </w:rPr>
              <w:t>в день составления Списка</w:t>
            </w:r>
            <w:r w:rsidRPr="001D091E">
              <w:rPr>
                <w:rFonts w:eastAsia="Times New Roman" w:cs="Times New Roman"/>
                <w:iCs/>
                <w:lang w:eastAsia="ru-RU"/>
              </w:rPr>
              <w:t xml:space="preserve"> (депозитарий, осуществляющий учет прав Владельца инвестиционных паев на инвестиционные паи фонда, на день составления Списка) должен осуществить фиксацию ограничения распоряжения инвестиционными паями путем внесения записи по лицевым счетам (счетам депо)</w:t>
            </w:r>
            <w:r w:rsidRPr="0051132F">
              <w:rPr>
                <w:rFonts w:eastAsia="Times New Roman" w:cs="Times New Roman"/>
                <w:iCs/>
                <w:lang w:eastAsia="ru-RU"/>
              </w:rPr>
              <w:t xml:space="preserve"> Владельцев инвестиционных паев</w:t>
            </w:r>
            <w:r w:rsidRPr="001D091E">
              <w:rPr>
                <w:rFonts w:eastAsia="Times New Roman" w:cs="Times New Roman"/>
                <w:iCs/>
                <w:lang w:eastAsia="ru-RU"/>
              </w:rPr>
              <w:t>…</w:t>
            </w:r>
          </w:p>
        </w:tc>
        <w:tc>
          <w:tcPr>
            <w:tcW w:w="6378" w:type="dxa"/>
          </w:tcPr>
          <w:p w:rsidR="002E4A29" w:rsidRPr="00A13C83" w:rsidRDefault="002E4A29" w:rsidP="009E6E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1D091E">
              <w:t xml:space="preserve">Для целей обеспечения исполнения регистраторами (депозитариями) требований </w:t>
            </w:r>
            <w:proofErr w:type="spellStart"/>
            <w:r w:rsidR="009E6EAA">
              <w:t>пп</w:t>
            </w:r>
            <w:proofErr w:type="spellEnd"/>
            <w:r w:rsidRPr="001D091E">
              <w:t>. 1.6 Решения СД БР от 26.12.2023 о необходимости блокировки распоряжения инвестиционными паями непосредственно по состоянию на день составления списка владельцев инвестиционных п</w:t>
            </w:r>
            <w:r w:rsidR="007B3698">
              <w:t>аев фонда, составляемый в соответствии</w:t>
            </w:r>
            <w:r w:rsidRPr="001D091E">
              <w:t xml:space="preserve"> с</w:t>
            </w:r>
            <w:r w:rsidR="00292D8C">
              <w:t xml:space="preserve"> </w:t>
            </w:r>
            <w:proofErr w:type="spellStart"/>
            <w:r w:rsidR="00292D8C">
              <w:t>пп</w:t>
            </w:r>
            <w:proofErr w:type="spellEnd"/>
            <w:r w:rsidR="00292D8C">
              <w:t>. 1.2.1 Решения СД БР</w:t>
            </w:r>
            <w:r w:rsidRPr="001D091E">
              <w:t>, УК ПИФ следует направлять требования о составлении Списка в максимально ранний срок до даты, по состоянию на которую должен быть</w:t>
            </w:r>
            <w:proofErr w:type="gramEnd"/>
            <w:r w:rsidRPr="001D091E">
              <w:t xml:space="preserve"> составлен Список.</w:t>
            </w:r>
          </w:p>
        </w:tc>
      </w:tr>
      <w:tr w:rsidR="002E4A29" w:rsidRPr="00D758B7" w:rsidTr="005771D4">
        <w:tc>
          <w:tcPr>
            <w:tcW w:w="675" w:type="dxa"/>
          </w:tcPr>
          <w:p w:rsidR="002E4A29" w:rsidRPr="0051132F" w:rsidRDefault="002E4A29" w:rsidP="006B2610">
            <w:pPr>
              <w:jc w:val="center"/>
              <w:rPr>
                <w:rFonts w:cstheme="minorHAnsi"/>
              </w:rPr>
            </w:pPr>
            <w:r w:rsidRPr="0051132F">
              <w:rPr>
                <w:rFonts w:cstheme="minorHAnsi"/>
              </w:rPr>
              <w:t>2.</w:t>
            </w:r>
          </w:p>
        </w:tc>
        <w:tc>
          <w:tcPr>
            <w:tcW w:w="2127" w:type="dxa"/>
          </w:tcPr>
          <w:p w:rsidR="002E4A29" w:rsidRPr="008E1C3D" w:rsidRDefault="002E4A29" w:rsidP="008E1C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1F4E79"/>
                <w:lang w:eastAsia="ru-RU"/>
              </w:rPr>
            </w:pPr>
            <w:r w:rsidRPr="001D091E">
              <w:rPr>
                <w:rFonts w:eastAsia="Times New Roman" w:cs="Times New Roman"/>
                <w:b/>
                <w:bCs/>
                <w:color w:val="1F4E79"/>
                <w:lang w:eastAsia="ru-RU"/>
              </w:rPr>
              <w:t xml:space="preserve">Блокировка инвестиционных паев </w:t>
            </w:r>
          </w:p>
        </w:tc>
        <w:tc>
          <w:tcPr>
            <w:tcW w:w="5670" w:type="dxa"/>
          </w:tcPr>
          <w:p w:rsidR="002E4A29" w:rsidRPr="0051132F" w:rsidRDefault="002E4A29" w:rsidP="002E4A29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1D091E">
              <w:rPr>
                <w:rFonts w:eastAsia="Times New Roman" w:cs="Times New Roman"/>
                <w:iCs/>
                <w:lang w:eastAsia="ru-RU"/>
              </w:rPr>
              <w:t xml:space="preserve">1.6. Регистратор фонда в день составления Списка (депозитарий, осуществляющий учет прав Владельца инвестиционных паев на инвестиционные паи фонда, на день составления Списка) должен осуществить фиксацию </w:t>
            </w:r>
            <w:r w:rsidRPr="001D091E">
              <w:rPr>
                <w:rFonts w:eastAsia="Times New Roman" w:cs="Times New Roman"/>
                <w:iCs/>
                <w:lang w:eastAsia="ru-RU"/>
              </w:rPr>
              <w:lastRenderedPageBreak/>
              <w:t xml:space="preserve">ограничения распоряжения инвестиционными паями путем внесения записи </w:t>
            </w:r>
            <w:r w:rsidRPr="001D091E">
              <w:rPr>
                <w:rFonts w:eastAsia="Times New Roman" w:cs="Times New Roman"/>
                <w:b/>
                <w:iCs/>
                <w:lang w:eastAsia="ru-RU"/>
              </w:rPr>
              <w:t>по лицевым счетам (счетам депо) Владельцев инвестиционных паев</w:t>
            </w:r>
            <w:r w:rsidRPr="001D091E">
              <w:rPr>
                <w:rFonts w:eastAsia="Times New Roman" w:cs="Times New Roman"/>
                <w:iCs/>
                <w:lang w:eastAsia="ru-RU"/>
              </w:rPr>
              <w:t xml:space="preserve"> (за исключением управляющих), на которых учитываются инвестиционные паи фонда</w:t>
            </w:r>
            <w:r w:rsidRPr="0051132F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6378" w:type="dxa"/>
          </w:tcPr>
          <w:p w:rsidR="002E4A29" w:rsidRPr="00BB523E" w:rsidRDefault="00BB523E" w:rsidP="00BB523E">
            <w:pPr>
              <w:jc w:val="both"/>
            </w:pPr>
            <w:proofErr w:type="gramStart"/>
            <w:r w:rsidRPr="001D091E">
              <w:lastRenderedPageBreak/>
              <w:t xml:space="preserve">Во избежание риска списания инвестиционных паев с иных счетов, кроме счетов Владельцев (например, по счетам, открытым у номинальных держателей, во исполнение обязательств в рамках клиринга НКЦ), одновременно с </w:t>
            </w:r>
            <w:r w:rsidRPr="001D091E">
              <w:lastRenderedPageBreak/>
              <w:t>блокировкой распоряжения инвестиционными паями по счетам Владельцев в соответствии с подпунктом 1.6 Решения СД БР от 26.12.2023 депозитариям следует осуществлять вывод инвестиционных паев с торговых разделов указанных иных счетов (в количестве паев</w:t>
            </w:r>
            <w:proofErr w:type="gramEnd"/>
            <w:r w:rsidRPr="001D091E">
              <w:t>, подлежащих блокировке).</w:t>
            </w:r>
          </w:p>
        </w:tc>
      </w:tr>
      <w:tr w:rsidR="002E4A29" w:rsidRPr="00D758B7" w:rsidTr="005771D4">
        <w:tc>
          <w:tcPr>
            <w:tcW w:w="675" w:type="dxa"/>
          </w:tcPr>
          <w:p w:rsidR="002E4A29" w:rsidRPr="0051132F" w:rsidRDefault="002E4A29" w:rsidP="006B2610">
            <w:pPr>
              <w:jc w:val="center"/>
              <w:rPr>
                <w:rFonts w:cstheme="minorHAnsi"/>
              </w:rPr>
            </w:pPr>
            <w:r w:rsidRPr="0051132F">
              <w:rPr>
                <w:rFonts w:cstheme="minorHAnsi"/>
              </w:rPr>
              <w:lastRenderedPageBreak/>
              <w:t>3.</w:t>
            </w:r>
          </w:p>
        </w:tc>
        <w:tc>
          <w:tcPr>
            <w:tcW w:w="2127" w:type="dxa"/>
          </w:tcPr>
          <w:p w:rsidR="002E4A29" w:rsidRPr="008E1C3D" w:rsidRDefault="00BB523E" w:rsidP="008E1C3D">
            <w:pPr>
              <w:spacing w:before="100" w:beforeAutospacing="1" w:after="100" w:afterAutospacing="1"/>
              <w:rPr>
                <w:rFonts w:eastAsia="Times New Roman" w:cs="Times New Roman"/>
                <w:color w:val="1F497D"/>
                <w:lang w:eastAsia="ru-RU"/>
              </w:rPr>
            </w:pPr>
            <w:r w:rsidRPr="001D091E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 xml:space="preserve">Погашение </w:t>
            </w:r>
            <w:r w:rsidR="009E6EAA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 xml:space="preserve">инвестиционных </w:t>
            </w:r>
            <w:r w:rsidRPr="001D091E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>паев, принадлежащих Владельцам-депонентам депозитариев</w:t>
            </w:r>
          </w:p>
        </w:tc>
        <w:tc>
          <w:tcPr>
            <w:tcW w:w="5670" w:type="dxa"/>
          </w:tcPr>
          <w:p w:rsidR="002E4A29" w:rsidRPr="008E1C3D" w:rsidRDefault="00BB523E" w:rsidP="008E1C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1D091E">
              <w:rPr>
                <w:rFonts w:eastAsia="Times New Roman" w:cs="Times New Roman"/>
                <w:iCs/>
                <w:lang w:eastAsia="ru-RU"/>
              </w:rPr>
              <w:t xml:space="preserve">1.12. Инвестиционные паи Владельцев инвестиционных паев, чьи Иностранные ценные бумаги были проданы в рамках Сделок с учетом Условий проведения Торгов, </w:t>
            </w:r>
            <w:r w:rsidRPr="001D091E">
              <w:rPr>
                <w:rFonts w:eastAsia="Times New Roman" w:cs="Times New Roman"/>
                <w:b/>
                <w:iCs/>
                <w:lang w:eastAsia="ru-RU"/>
              </w:rPr>
              <w:t>подлежат погашению на основании распоряжения управляющей компании</w:t>
            </w:r>
            <w:r w:rsidRPr="001D091E">
              <w:rPr>
                <w:rFonts w:eastAsia="Times New Roman" w:cs="Times New Roman"/>
                <w:iCs/>
                <w:lang w:eastAsia="ru-RU"/>
              </w:rPr>
              <w:t xml:space="preserve"> в количестве, равном Фактическому количеству инвестиционных паев, определенному в соответствии с </w:t>
            </w:r>
            <w:r w:rsidRPr="0051132F">
              <w:rPr>
                <w:rFonts w:eastAsia="Times New Roman" w:cs="Times New Roman"/>
                <w:iCs/>
                <w:lang w:eastAsia="ru-RU"/>
              </w:rPr>
              <w:t>подпунктом 1.11</w:t>
            </w:r>
            <w:r w:rsidRPr="001D091E">
              <w:rPr>
                <w:rFonts w:eastAsia="Times New Roman" w:cs="Times New Roman"/>
                <w:iCs/>
                <w:lang w:eastAsia="ru-RU"/>
              </w:rPr>
              <w:t xml:space="preserve"> настоящего пункта.</w:t>
            </w:r>
          </w:p>
        </w:tc>
        <w:tc>
          <w:tcPr>
            <w:tcW w:w="6378" w:type="dxa"/>
          </w:tcPr>
          <w:p w:rsidR="00BB523E" w:rsidRPr="00BB523E" w:rsidRDefault="00BB523E" w:rsidP="00BB523E">
            <w:pPr>
              <w:jc w:val="both"/>
            </w:pPr>
            <w:proofErr w:type="gramStart"/>
            <w:r w:rsidRPr="001D091E">
              <w:t>В целях обеспечения погашения инвестиционных паев по результатам совершенных сделок считаем необходимым управляющей компании при подаче распоряжения регистратору о погашении инвестиционных паев указывать в нем сведения обо всех Владельцах инвестиционных паев, паи которых подлежат погашению, с указанием количества принадлежащих им паев и количества паев, подлежащих погашению.</w:t>
            </w:r>
            <w:proofErr w:type="gramEnd"/>
            <w:r w:rsidRPr="001D091E">
              <w:t xml:space="preserve"> Соответствующие сведения должны передаваться управляющей компанией регистратору, и далее по цепочке депозитариям для погашения инвестиционных паев и передачи информации своим депонентам, если такие депоненты являются номинальными держателями. В отсутствие такого списка депозитарий не сможет идентифицировать депонентов, со </w:t>
            </w:r>
            <w:proofErr w:type="gramStart"/>
            <w:r w:rsidRPr="001D091E">
              <w:t>счетов</w:t>
            </w:r>
            <w:proofErr w:type="gramEnd"/>
            <w:r w:rsidRPr="001D091E">
              <w:t xml:space="preserve"> депо которых необходимо списать паи в результате погашения, а также определить количество погашаемых паев. </w:t>
            </w:r>
          </w:p>
        </w:tc>
      </w:tr>
      <w:tr w:rsidR="002E4A29" w:rsidRPr="00D758B7" w:rsidTr="005771D4">
        <w:tc>
          <w:tcPr>
            <w:tcW w:w="675" w:type="dxa"/>
          </w:tcPr>
          <w:p w:rsidR="002E4A29" w:rsidRPr="0051132F" w:rsidRDefault="002E4A29" w:rsidP="006B2610">
            <w:pPr>
              <w:jc w:val="center"/>
              <w:rPr>
                <w:rFonts w:cstheme="minorHAnsi"/>
              </w:rPr>
            </w:pPr>
            <w:r w:rsidRPr="0051132F">
              <w:rPr>
                <w:rFonts w:cstheme="minorHAnsi"/>
              </w:rPr>
              <w:t>4.</w:t>
            </w:r>
          </w:p>
        </w:tc>
        <w:tc>
          <w:tcPr>
            <w:tcW w:w="2127" w:type="dxa"/>
          </w:tcPr>
          <w:p w:rsidR="002E4A29" w:rsidRPr="008E1C3D" w:rsidRDefault="00BB523E" w:rsidP="009E6EAA">
            <w:pPr>
              <w:spacing w:before="100" w:beforeAutospacing="1" w:after="100" w:afterAutospacing="1"/>
              <w:rPr>
                <w:rFonts w:eastAsia="Times New Roman" w:cs="Times New Roman"/>
                <w:color w:val="1F4E79"/>
                <w:lang w:eastAsia="ru-RU"/>
              </w:rPr>
            </w:pPr>
            <w:r w:rsidRPr="001D091E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 xml:space="preserve">Налоговые последствия для </w:t>
            </w:r>
            <w:r w:rsidR="009E6EAA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>владельцев инвестиционных паев</w:t>
            </w:r>
          </w:p>
        </w:tc>
        <w:tc>
          <w:tcPr>
            <w:tcW w:w="5670" w:type="dxa"/>
          </w:tcPr>
          <w:p w:rsidR="002E4A29" w:rsidRPr="0051132F" w:rsidRDefault="002E4A29" w:rsidP="00BB5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BB523E" w:rsidRPr="009556D6" w:rsidRDefault="00BB523E" w:rsidP="009556D6">
            <w:pPr>
              <w:jc w:val="both"/>
            </w:pPr>
            <w:r w:rsidRPr="009556D6">
              <w:t xml:space="preserve">В настоящее время идет взаимодействие с Минфином России на тему возможности принятия решения (в частности, на уровне официальных разъяснений Минфина), которое позволит УК выступить налоговым агентом в интересах </w:t>
            </w:r>
            <w:r w:rsidR="00292D8C">
              <w:t>владельцев инвестиционных паев</w:t>
            </w:r>
            <w:r w:rsidRPr="009556D6">
              <w:t xml:space="preserve">, от имени которых </w:t>
            </w:r>
            <w:proofErr w:type="gramStart"/>
            <w:r w:rsidRPr="009556D6">
              <w:t>такая</w:t>
            </w:r>
            <w:proofErr w:type="gramEnd"/>
            <w:r w:rsidRPr="009556D6">
              <w:t xml:space="preserve"> УК совершит сделки в рамках реализации  Указа № 844.</w:t>
            </w:r>
          </w:p>
          <w:p w:rsidR="00BB523E" w:rsidRPr="009556D6" w:rsidRDefault="00BB523E" w:rsidP="0051132F">
            <w:pPr>
              <w:jc w:val="both"/>
            </w:pPr>
            <w:r w:rsidRPr="009556D6">
              <w:t xml:space="preserve">Так, в случае принятия такого решения у многих УК могут возникнуть сложности в части получения информации о расходах </w:t>
            </w:r>
            <w:r w:rsidR="00292D8C">
              <w:t>владельцев инвестиционных паев</w:t>
            </w:r>
            <w:r w:rsidRPr="009556D6">
              <w:t>, понесенных при приобретении паев БПИФ (в том числе конвертированных в ЗПИФ-А), а также по паям иных ПИФ (в том числе конвертированных в ЗПИФ-А), приобретенным через брокеров.</w:t>
            </w:r>
          </w:p>
          <w:p w:rsidR="002E4A29" w:rsidRPr="00D11E36" w:rsidRDefault="00BB523E" w:rsidP="00292D8C">
            <w:pPr>
              <w:jc w:val="both"/>
            </w:pPr>
            <w:r w:rsidRPr="009556D6">
              <w:t xml:space="preserve">Учитывая указанные обстоятельства, считаем необходимым УК и брокерам организовать надлежащее взаимодействие между собой и с </w:t>
            </w:r>
            <w:r w:rsidR="00292D8C">
              <w:t>владельцами инвестиционных паев</w:t>
            </w:r>
            <w:r w:rsidRPr="009556D6">
              <w:t xml:space="preserve">, обеспечивающее своевременное получение информации/документов, </w:t>
            </w:r>
            <w:r w:rsidRPr="009556D6">
              <w:lastRenderedPageBreak/>
              <w:t>необходимых для исполнения УК функций налогового агента.</w:t>
            </w:r>
          </w:p>
        </w:tc>
      </w:tr>
      <w:tr w:rsidR="002E4A29" w:rsidRPr="00D758B7" w:rsidTr="005771D4">
        <w:tc>
          <w:tcPr>
            <w:tcW w:w="675" w:type="dxa"/>
          </w:tcPr>
          <w:p w:rsidR="002E4A29" w:rsidRPr="0051132F" w:rsidRDefault="002E4A29" w:rsidP="006B2610">
            <w:pPr>
              <w:jc w:val="center"/>
              <w:rPr>
                <w:rFonts w:cstheme="minorHAnsi"/>
              </w:rPr>
            </w:pPr>
            <w:r w:rsidRPr="0051132F">
              <w:rPr>
                <w:rFonts w:cstheme="minorHAnsi"/>
              </w:rPr>
              <w:lastRenderedPageBreak/>
              <w:t>5.</w:t>
            </w:r>
          </w:p>
        </w:tc>
        <w:tc>
          <w:tcPr>
            <w:tcW w:w="2127" w:type="dxa"/>
          </w:tcPr>
          <w:p w:rsidR="002E4A29" w:rsidRPr="005771D4" w:rsidRDefault="009556D6" w:rsidP="009E6EAA">
            <w:pPr>
              <w:spacing w:before="100" w:beforeAutospacing="1" w:after="100" w:afterAutospacing="1"/>
              <w:rPr>
                <w:rFonts w:eastAsia="Times New Roman" w:cs="Times New Roman"/>
                <w:color w:val="1F4E79"/>
                <w:lang w:eastAsia="ru-RU"/>
              </w:rPr>
            </w:pPr>
            <w:r w:rsidRPr="001D091E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 xml:space="preserve">Сроки, предоставляемые клиентам брокеров, управляющих и </w:t>
            </w:r>
            <w:r w:rsidR="009E6EAA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>владельцам инвестиционных паев</w:t>
            </w:r>
            <w:r w:rsidRPr="001D091E">
              <w:rPr>
                <w:rFonts w:eastAsia="Times New Roman" w:cs="Times New Roman"/>
                <w:b/>
                <w:bCs/>
                <w:color w:val="1F497D"/>
                <w:lang w:eastAsia="ru-RU"/>
              </w:rPr>
              <w:t xml:space="preserve"> ПИФ для направления своих согласий на совершение сделки</w:t>
            </w:r>
          </w:p>
        </w:tc>
        <w:tc>
          <w:tcPr>
            <w:tcW w:w="5670" w:type="dxa"/>
          </w:tcPr>
          <w:p w:rsidR="002E4A29" w:rsidRPr="0051132F" w:rsidRDefault="009556D6" w:rsidP="009556D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1D091E">
              <w:rPr>
                <w:rFonts w:eastAsia="Times New Roman" w:cs="Times New Roman"/>
                <w:lang w:eastAsia="ru-RU"/>
              </w:rPr>
              <w:t>Формально Решения СД БР от 08.12.2023 и от 26.12.2023 не регулируют указанный срок.</w:t>
            </w:r>
          </w:p>
        </w:tc>
        <w:tc>
          <w:tcPr>
            <w:tcW w:w="6378" w:type="dxa"/>
          </w:tcPr>
          <w:p w:rsidR="002E4A29" w:rsidRPr="005771D4" w:rsidRDefault="009556D6" w:rsidP="005771D4">
            <w:pPr>
              <w:jc w:val="both"/>
            </w:pPr>
            <w:r w:rsidRPr="009556D6">
              <w:t xml:space="preserve">При определении </w:t>
            </w:r>
            <w:proofErr w:type="gramStart"/>
            <w:r w:rsidRPr="009556D6">
              <w:t>брокером</w:t>
            </w:r>
            <w:proofErr w:type="gramEnd"/>
            <w:r w:rsidRPr="009556D6">
              <w:t>/управляющим/УК ПИФ срока для направления со стороны клиентов/</w:t>
            </w:r>
            <w:r w:rsidR="00292D8C">
              <w:t xml:space="preserve"> владельцев инвестиционных паев</w:t>
            </w:r>
            <w:r w:rsidRPr="009556D6">
              <w:t xml:space="preserve"> согласия на совершение сделки (включая необходимые для этого документы/сведения) считаем необходимым в целях обеспечения прав и законных интересов таких клиентов/</w:t>
            </w:r>
            <w:r w:rsidR="00547834">
              <w:t xml:space="preserve"> владельцев инвестиционных паев</w:t>
            </w:r>
            <w:r w:rsidRPr="009556D6">
              <w:t xml:space="preserve"> в каждом случае исходить из необходимости предоставления последним максимально возможного срока в пределах определенного условиями торгов общего срока на подачу оферт на совершение сделок.</w:t>
            </w:r>
          </w:p>
        </w:tc>
      </w:tr>
    </w:tbl>
    <w:p w:rsidR="006B2610" w:rsidRPr="00A13C83" w:rsidRDefault="006B2610" w:rsidP="006B2610">
      <w:pPr>
        <w:rPr>
          <w:rFonts w:ascii="Times New Roman" w:hAnsi="Times New Roman"/>
        </w:rPr>
      </w:pPr>
    </w:p>
    <w:p w:rsidR="006B2610" w:rsidRPr="00A13C83" w:rsidRDefault="006B2610" w:rsidP="006B2610">
      <w:pPr>
        <w:rPr>
          <w:rFonts w:ascii="Times New Roman" w:hAnsi="Times New Roman"/>
        </w:rPr>
      </w:pPr>
    </w:p>
    <w:p w:rsidR="006B2610" w:rsidRPr="006B2610" w:rsidRDefault="006B2610" w:rsidP="006B2610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sectPr w:rsidR="006B2610" w:rsidRPr="006B2610" w:rsidSect="005771D4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74" w:rsidRDefault="002E0F74" w:rsidP="006B2610">
      <w:pPr>
        <w:spacing w:after="0" w:line="240" w:lineRule="auto"/>
      </w:pPr>
      <w:r>
        <w:separator/>
      </w:r>
    </w:p>
  </w:endnote>
  <w:endnote w:type="continuationSeparator" w:id="0">
    <w:p w:rsidR="002E0F74" w:rsidRDefault="002E0F74" w:rsidP="006B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959632"/>
      <w:docPartObj>
        <w:docPartGallery w:val="Page Numbers (Bottom of Page)"/>
        <w:docPartUnique/>
      </w:docPartObj>
    </w:sdtPr>
    <w:sdtContent>
      <w:p w:rsidR="00F53667" w:rsidRDefault="00F53667">
        <w:pPr>
          <w:pStyle w:val="a8"/>
          <w:jc w:val="center"/>
        </w:pPr>
        <w:fldSimple w:instr=" PAGE   \* MERGEFORMAT ">
          <w:r w:rsidR="00547834">
            <w:rPr>
              <w:noProof/>
            </w:rPr>
            <w:t>1</w:t>
          </w:r>
        </w:fldSimple>
      </w:p>
    </w:sdtContent>
  </w:sdt>
  <w:p w:rsidR="005771D4" w:rsidRDefault="005771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74" w:rsidRDefault="002E0F74" w:rsidP="006B2610">
      <w:pPr>
        <w:spacing w:after="0" w:line="240" w:lineRule="auto"/>
      </w:pPr>
      <w:r>
        <w:separator/>
      </w:r>
    </w:p>
  </w:footnote>
  <w:footnote w:type="continuationSeparator" w:id="0">
    <w:p w:rsidR="002E0F74" w:rsidRDefault="002E0F74" w:rsidP="006B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9AF"/>
    <w:multiLevelType w:val="multilevel"/>
    <w:tmpl w:val="4BAA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C6775"/>
    <w:multiLevelType w:val="multilevel"/>
    <w:tmpl w:val="A650C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D0CCA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E7E"/>
    <w:multiLevelType w:val="multilevel"/>
    <w:tmpl w:val="350A1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D055B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574D"/>
    <w:multiLevelType w:val="hybridMultilevel"/>
    <w:tmpl w:val="1610B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F5E25"/>
    <w:multiLevelType w:val="multilevel"/>
    <w:tmpl w:val="FD203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E1AB1"/>
    <w:multiLevelType w:val="hybridMultilevel"/>
    <w:tmpl w:val="811ED66A"/>
    <w:lvl w:ilvl="0" w:tplc="6B34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725C4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D63"/>
    <w:multiLevelType w:val="hybridMultilevel"/>
    <w:tmpl w:val="573C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B17"/>
    <w:multiLevelType w:val="multilevel"/>
    <w:tmpl w:val="7F5C8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A445E"/>
    <w:multiLevelType w:val="hybridMultilevel"/>
    <w:tmpl w:val="730AAA2A"/>
    <w:lvl w:ilvl="0" w:tplc="3B4A1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D00DE1"/>
    <w:multiLevelType w:val="hybridMultilevel"/>
    <w:tmpl w:val="12F4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74223"/>
    <w:multiLevelType w:val="hybridMultilevel"/>
    <w:tmpl w:val="EFA2E11E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7B3C"/>
    <w:rsid w:val="000066AB"/>
    <w:rsid w:val="00010542"/>
    <w:rsid w:val="000105F8"/>
    <w:rsid w:val="000126C8"/>
    <w:rsid w:val="00013C16"/>
    <w:rsid w:val="000205A4"/>
    <w:rsid w:val="00020873"/>
    <w:rsid w:val="00030444"/>
    <w:rsid w:val="000308FE"/>
    <w:rsid w:val="00036BF3"/>
    <w:rsid w:val="00042F54"/>
    <w:rsid w:val="000456C6"/>
    <w:rsid w:val="00053BBA"/>
    <w:rsid w:val="0005419C"/>
    <w:rsid w:val="0005511B"/>
    <w:rsid w:val="00056C40"/>
    <w:rsid w:val="00060220"/>
    <w:rsid w:val="000632A4"/>
    <w:rsid w:val="00064856"/>
    <w:rsid w:val="00064D88"/>
    <w:rsid w:val="00064FE7"/>
    <w:rsid w:val="000706B5"/>
    <w:rsid w:val="000957D8"/>
    <w:rsid w:val="000B2315"/>
    <w:rsid w:val="000B6221"/>
    <w:rsid w:val="000B6396"/>
    <w:rsid w:val="000C3371"/>
    <w:rsid w:val="000F2D4A"/>
    <w:rsid w:val="00100DD4"/>
    <w:rsid w:val="00103BE9"/>
    <w:rsid w:val="00111CB2"/>
    <w:rsid w:val="00116F25"/>
    <w:rsid w:val="001237C4"/>
    <w:rsid w:val="001275DE"/>
    <w:rsid w:val="00133DBF"/>
    <w:rsid w:val="0015366C"/>
    <w:rsid w:val="00160FE6"/>
    <w:rsid w:val="00163CE1"/>
    <w:rsid w:val="00174750"/>
    <w:rsid w:val="00180C19"/>
    <w:rsid w:val="001842FE"/>
    <w:rsid w:val="00190AAD"/>
    <w:rsid w:val="001A79B9"/>
    <w:rsid w:val="001B36A4"/>
    <w:rsid w:val="001B45FF"/>
    <w:rsid w:val="001B689C"/>
    <w:rsid w:val="001B7CAB"/>
    <w:rsid w:val="001C0876"/>
    <w:rsid w:val="001C0CDF"/>
    <w:rsid w:val="001C430E"/>
    <w:rsid w:val="001C7166"/>
    <w:rsid w:val="001C7548"/>
    <w:rsid w:val="001D0F14"/>
    <w:rsid w:val="001E580D"/>
    <w:rsid w:val="001F3F79"/>
    <w:rsid w:val="001F593F"/>
    <w:rsid w:val="00206A1E"/>
    <w:rsid w:val="00212F1F"/>
    <w:rsid w:val="00214E03"/>
    <w:rsid w:val="002170EC"/>
    <w:rsid w:val="00221F22"/>
    <w:rsid w:val="00221F2C"/>
    <w:rsid w:val="00222731"/>
    <w:rsid w:val="00235AE8"/>
    <w:rsid w:val="00235B9A"/>
    <w:rsid w:val="00241C4E"/>
    <w:rsid w:val="002731E1"/>
    <w:rsid w:val="0028152D"/>
    <w:rsid w:val="0029175D"/>
    <w:rsid w:val="00292D8C"/>
    <w:rsid w:val="002A3B6C"/>
    <w:rsid w:val="002A60DE"/>
    <w:rsid w:val="002A79E2"/>
    <w:rsid w:val="002B3330"/>
    <w:rsid w:val="002C7DCF"/>
    <w:rsid w:val="002D1B40"/>
    <w:rsid w:val="002E0F74"/>
    <w:rsid w:val="002E4A29"/>
    <w:rsid w:val="002E5644"/>
    <w:rsid w:val="002E5FA9"/>
    <w:rsid w:val="002F572F"/>
    <w:rsid w:val="002F734B"/>
    <w:rsid w:val="00314F7F"/>
    <w:rsid w:val="003331BF"/>
    <w:rsid w:val="0034076A"/>
    <w:rsid w:val="003475F5"/>
    <w:rsid w:val="0036728D"/>
    <w:rsid w:val="00381BF6"/>
    <w:rsid w:val="00382BC7"/>
    <w:rsid w:val="003846A4"/>
    <w:rsid w:val="00385F89"/>
    <w:rsid w:val="00386590"/>
    <w:rsid w:val="003865FC"/>
    <w:rsid w:val="00390E39"/>
    <w:rsid w:val="003913CC"/>
    <w:rsid w:val="003943C7"/>
    <w:rsid w:val="003968CE"/>
    <w:rsid w:val="00397C82"/>
    <w:rsid w:val="00397F43"/>
    <w:rsid w:val="003A2908"/>
    <w:rsid w:val="003A3836"/>
    <w:rsid w:val="003A4FC9"/>
    <w:rsid w:val="003A6FCF"/>
    <w:rsid w:val="003B380D"/>
    <w:rsid w:val="003B5185"/>
    <w:rsid w:val="003D5B42"/>
    <w:rsid w:val="003E1217"/>
    <w:rsid w:val="003E4516"/>
    <w:rsid w:val="003E5977"/>
    <w:rsid w:val="003E62CF"/>
    <w:rsid w:val="003E64A3"/>
    <w:rsid w:val="003E72F0"/>
    <w:rsid w:val="003F178B"/>
    <w:rsid w:val="003F51E7"/>
    <w:rsid w:val="00406C1D"/>
    <w:rsid w:val="00410EFC"/>
    <w:rsid w:val="004115AD"/>
    <w:rsid w:val="00414199"/>
    <w:rsid w:val="0041489C"/>
    <w:rsid w:val="00423224"/>
    <w:rsid w:val="00424131"/>
    <w:rsid w:val="004267B1"/>
    <w:rsid w:val="00431A3C"/>
    <w:rsid w:val="004340EB"/>
    <w:rsid w:val="00434D23"/>
    <w:rsid w:val="0043724E"/>
    <w:rsid w:val="00442F2F"/>
    <w:rsid w:val="00450ABE"/>
    <w:rsid w:val="00457E60"/>
    <w:rsid w:val="00463117"/>
    <w:rsid w:val="00465C4D"/>
    <w:rsid w:val="00473C6E"/>
    <w:rsid w:val="00487E35"/>
    <w:rsid w:val="0049658E"/>
    <w:rsid w:val="004A446D"/>
    <w:rsid w:val="004B3B4A"/>
    <w:rsid w:val="004C54A3"/>
    <w:rsid w:val="004C581B"/>
    <w:rsid w:val="004C626E"/>
    <w:rsid w:val="004D1662"/>
    <w:rsid w:val="004E0D3D"/>
    <w:rsid w:val="00507CB7"/>
    <w:rsid w:val="00510A58"/>
    <w:rsid w:val="0051132F"/>
    <w:rsid w:val="005121F2"/>
    <w:rsid w:val="00534352"/>
    <w:rsid w:val="0053536A"/>
    <w:rsid w:val="00536BC1"/>
    <w:rsid w:val="00543767"/>
    <w:rsid w:val="00547834"/>
    <w:rsid w:val="005562E0"/>
    <w:rsid w:val="00567548"/>
    <w:rsid w:val="0057288B"/>
    <w:rsid w:val="005771D4"/>
    <w:rsid w:val="00582434"/>
    <w:rsid w:val="00593A02"/>
    <w:rsid w:val="005957F1"/>
    <w:rsid w:val="00596BF9"/>
    <w:rsid w:val="005A4E57"/>
    <w:rsid w:val="005A509D"/>
    <w:rsid w:val="005B1305"/>
    <w:rsid w:val="005C3288"/>
    <w:rsid w:val="005C42F7"/>
    <w:rsid w:val="005F1B58"/>
    <w:rsid w:val="005F5AC3"/>
    <w:rsid w:val="00600E07"/>
    <w:rsid w:val="00612DBE"/>
    <w:rsid w:val="0061399D"/>
    <w:rsid w:val="006271C5"/>
    <w:rsid w:val="006350F6"/>
    <w:rsid w:val="00650229"/>
    <w:rsid w:val="00655783"/>
    <w:rsid w:val="0065729E"/>
    <w:rsid w:val="00664C24"/>
    <w:rsid w:val="00665A93"/>
    <w:rsid w:val="0067282D"/>
    <w:rsid w:val="00680AA2"/>
    <w:rsid w:val="00681BB7"/>
    <w:rsid w:val="0068503F"/>
    <w:rsid w:val="00687883"/>
    <w:rsid w:val="00690DCB"/>
    <w:rsid w:val="006A2E49"/>
    <w:rsid w:val="006A72E6"/>
    <w:rsid w:val="006B15A0"/>
    <w:rsid w:val="006B2610"/>
    <w:rsid w:val="006B2C5B"/>
    <w:rsid w:val="006B738F"/>
    <w:rsid w:val="006C7DC2"/>
    <w:rsid w:val="006D1D6F"/>
    <w:rsid w:val="006D5DEB"/>
    <w:rsid w:val="006D75DF"/>
    <w:rsid w:val="006E4DE5"/>
    <w:rsid w:val="006E55EF"/>
    <w:rsid w:val="006F0F94"/>
    <w:rsid w:val="006F2425"/>
    <w:rsid w:val="0070371F"/>
    <w:rsid w:val="00717C5C"/>
    <w:rsid w:val="00717F3C"/>
    <w:rsid w:val="00722EE8"/>
    <w:rsid w:val="00736728"/>
    <w:rsid w:val="00741688"/>
    <w:rsid w:val="00761BDC"/>
    <w:rsid w:val="00763ABD"/>
    <w:rsid w:val="0076655B"/>
    <w:rsid w:val="00767546"/>
    <w:rsid w:val="00780E39"/>
    <w:rsid w:val="007821AF"/>
    <w:rsid w:val="007837A4"/>
    <w:rsid w:val="00787E70"/>
    <w:rsid w:val="007936F1"/>
    <w:rsid w:val="0079524D"/>
    <w:rsid w:val="00795FA8"/>
    <w:rsid w:val="00796BED"/>
    <w:rsid w:val="007A2334"/>
    <w:rsid w:val="007A6D00"/>
    <w:rsid w:val="007A7B3C"/>
    <w:rsid w:val="007B19AD"/>
    <w:rsid w:val="007B3698"/>
    <w:rsid w:val="007B51B5"/>
    <w:rsid w:val="007B5C9E"/>
    <w:rsid w:val="007B7697"/>
    <w:rsid w:val="007E5316"/>
    <w:rsid w:val="007E732E"/>
    <w:rsid w:val="007E7F89"/>
    <w:rsid w:val="007F19E0"/>
    <w:rsid w:val="007F606E"/>
    <w:rsid w:val="00807218"/>
    <w:rsid w:val="00810688"/>
    <w:rsid w:val="00814A91"/>
    <w:rsid w:val="008160F5"/>
    <w:rsid w:val="00820C4A"/>
    <w:rsid w:val="00821CCB"/>
    <w:rsid w:val="00860DDA"/>
    <w:rsid w:val="00860FAA"/>
    <w:rsid w:val="00872EE8"/>
    <w:rsid w:val="00884780"/>
    <w:rsid w:val="008A2B8E"/>
    <w:rsid w:val="008A492B"/>
    <w:rsid w:val="008B63AA"/>
    <w:rsid w:val="008C3800"/>
    <w:rsid w:val="008C7B7F"/>
    <w:rsid w:val="008D1679"/>
    <w:rsid w:val="008D280A"/>
    <w:rsid w:val="008D2A68"/>
    <w:rsid w:val="008D69C6"/>
    <w:rsid w:val="008E1C3D"/>
    <w:rsid w:val="00913320"/>
    <w:rsid w:val="0093283A"/>
    <w:rsid w:val="00936B01"/>
    <w:rsid w:val="0095040C"/>
    <w:rsid w:val="00951B53"/>
    <w:rsid w:val="00951C62"/>
    <w:rsid w:val="009556D6"/>
    <w:rsid w:val="009559DF"/>
    <w:rsid w:val="00971906"/>
    <w:rsid w:val="00982178"/>
    <w:rsid w:val="009849C5"/>
    <w:rsid w:val="009916ED"/>
    <w:rsid w:val="009A5A7D"/>
    <w:rsid w:val="009B13E7"/>
    <w:rsid w:val="009B1A4E"/>
    <w:rsid w:val="009B3E7F"/>
    <w:rsid w:val="009D2230"/>
    <w:rsid w:val="009E1BD4"/>
    <w:rsid w:val="009E4A88"/>
    <w:rsid w:val="009E6EAA"/>
    <w:rsid w:val="009E7AA1"/>
    <w:rsid w:val="009F00C6"/>
    <w:rsid w:val="009F1340"/>
    <w:rsid w:val="009F2899"/>
    <w:rsid w:val="009F727B"/>
    <w:rsid w:val="00A021B5"/>
    <w:rsid w:val="00A078E5"/>
    <w:rsid w:val="00A07D72"/>
    <w:rsid w:val="00A107BD"/>
    <w:rsid w:val="00A12B02"/>
    <w:rsid w:val="00A21099"/>
    <w:rsid w:val="00A22356"/>
    <w:rsid w:val="00A231E1"/>
    <w:rsid w:val="00A249CF"/>
    <w:rsid w:val="00A3392F"/>
    <w:rsid w:val="00A3699C"/>
    <w:rsid w:val="00A44C54"/>
    <w:rsid w:val="00A54685"/>
    <w:rsid w:val="00A57B1E"/>
    <w:rsid w:val="00A6127C"/>
    <w:rsid w:val="00A63B43"/>
    <w:rsid w:val="00A66AA7"/>
    <w:rsid w:val="00A7004C"/>
    <w:rsid w:val="00A70E56"/>
    <w:rsid w:val="00A73FFA"/>
    <w:rsid w:val="00A84801"/>
    <w:rsid w:val="00A87531"/>
    <w:rsid w:val="00AA0266"/>
    <w:rsid w:val="00AB3ECB"/>
    <w:rsid w:val="00AB6BD2"/>
    <w:rsid w:val="00AD0081"/>
    <w:rsid w:val="00AD3693"/>
    <w:rsid w:val="00AD5597"/>
    <w:rsid w:val="00AD6FDF"/>
    <w:rsid w:val="00AD7A03"/>
    <w:rsid w:val="00AE211E"/>
    <w:rsid w:val="00AF3642"/>
    <w:rsid w:val="00AF4D1E"/>
    <w:rsid w:val="00AF5867"/>
    <w:rsid w:val="00AF6E6F"/>
    <w:rsid w:val="00B0135A"/>
    <w:rsid w:val="00B04436"/>
    <w:rsid w:val="00B10DE3"/>
    <w:rsid w:val="00B1169D"/>
    <w:rsid w:val="00B15476"/>
    <w:rsid w:val="00B22546"/>
    <w:rsid w:val="00B44B4B"/>
    <w:rsid w:val="00B52305"/>
    <w:rsid w:val="00B55961"/>
    <w:rsid w:val="00B61A14"/>
    <w:rsid w:val="00B81FA4"/>
    <w:rsid w:val="00B97FA3"/>
    <w:rsid w:val="00BA0ACC"/>
    <w:rsid w:val="00BB4C33"/>
    <w:rsid w:val="00BB507C"/>
    <w:rsid w:val="00BB523E"/>
    <w:rsid w:val="00BC3DB5"/>
    <w:rsid w:val="00BC7819"/>
    <w:rsid w:val="00BD0E77"/>
    <w:rsid w:val="00BD2F0F"/>
    <w:rsid w:val="00BD2FFC"/>
    <w:rsid w:val="00BE214F"/>
    <w:rsid w:val="00BE2C77"/>
    <w:rsid w:val="00BE49D7"/>
    <w:rsid w:val="00BF06C4"/>
    <w:rsid w:val="00BF2821"/>
    <w:rsid w:val="00C16D9D"/>
    <w:rsid w:val="00C27B1C"/>
    <w:rsid w:val="00C31229"/>
    <w:rsid w:val="00C37659"/>
    <w:rsid w:val="00C40323"/>
    <w:rsid w:val="00C6767A"/>
    <w:rsid w:val="00C67C63"/>
    <w:rsid w:val="00C80A43"/>
    <w:rsid w:val="00C8129B"/>
    <w:rsid w:val="00C87F8F"/>
    <w:rsid w:val="00C933C9"/>
    <w:rsid w:val="00C95CF4"/>
    <w:rsid w:val="00CA1933"/>
    <w:rsid w:val="00CA5CBC"/>
    <w:rsid w:val="00CA7565"/>
    <w:rsid w:val="00CD4928"/>
    <w:rsid w:val="00CE4314"/>
    <w:rsid w:val="00D02584"/>
    <w:rsid w:val="00D02791"/>
    <w:rsid w:val="00D03179"/>
    <w:rsid w:val="00D03800"/>
    <w:rsid w:val="00D04F03"/>
    <w:rsid w:val="00D11E36"/>
    <w:rsid w:val="00D20713"/>
    <w:rsid w:val="00D246D1"/>
    <w:rsid w:val="00D27F14"/>
    <w:rsid w:val="00D56AAE"/>
    <w:rsid w:val="00D6290F"/>
    <w:rsid w:val="00D71971"/>
    <w:rsid w:val="00D7371D"/>
    <w:rsid w:val="00D83E69"/>
    <w:rsid w:val="00D8405D"/>
    <w:rsid w:val="00D903D3"/>
    <w:rsid w:val="00DA4F3A"/>
    <w:rsid w:val="00DA5E0E"/>
    <w:rsid w:val="00DB3AE9"/>
    <w:rsid w:val="00DB690A"/>
    <w:rsid w:val="00DB7967"/>
    <w:rsid w:val="00DC039E"/>
    <w:rsid w:val="00DC7583"/>
    <w:rsid w:val="00DE4C7A"/>
    <w:rsid w:val="00DE7754"/>
    <w:rsid w:val="00DF1B7B"/>
    <w:rsid w:val="00DF2E6B"/>
    <w:rsid w:val="00DF5C88"/>
    <w:rsid w:val="00DF7100"/>
    <w:rsid w:val="00E15423"/>
    <w:rsid w:val="00E17921"/>
    <w:rsid w:val="00E32232"/>
    <w:rsid w:val="00E336C8"/>
    <w:rsid w:val="00E3569A"/>
    <w:rsid w:val="00E408A2"/>
    <w:rsid w:val="00E4175C"/>
    <w:rsid w:val="00E50839"/>
    <w:rsid w:val="00E5332B"/>
    <w:rsid w:val="00E65AA6"/>
    <w:rsid w:val="00E84F4F"/>
    <w:rsid w:val="00E96C91"/>
    <w:rsid w:val="00EB5C02"/>
    <w:rsid w:val="00ED3B72"/>
    <w:rsid w:val="00ED436D"/>
    <w:rsid w:val="00EE186B"/>
    <w:rsid w:val="00EE40B2"/>
    <w:rsid w:val="00EF15C7"/>
    <w:rsid w:val="00EF1E97"/>
    <w:rsid w:val="00EF465B"/>
    <w:rsid w:val="00EF69DE"/>
    <w:rsid w:val="00EF7393"/>
    <w:rsid w:val="00F001FF"/>
    <w:rsid w:val="00F02F8A"/>
    <w:rsid w:val="00F13608"/>
    <w:rsid w:val="00F26E45"/>
    <w:rsid w:val="00F33B9D"/>
    <w:rsid w:val="00F53667"/>
    <w:rsid w:val="00F60B4D"/>
    <w:rsid w:val="00F668ED"/>
    <w:rsid w:val="00F81E1E"/>
    <w:rsid w:val="00F939ED"/>
    <w:rsid w:val="00FA0F23"/>
    <w:rsid w:val="00FA1DE6"/>
    <w:rsid w:val="00FB2125"/>
    <w:rsid w:val="00FC6C63"/>
    <w:rsid w:val="00FD4FAF"/>
    <w:rsid w:val="00FD62D3"/>
    <w:rsid w:val="00FE26E3"/>
    <w:rsid w:val="00FE3F64"/>
    <w:rsid w:val="00FE78CB"/>
    <w:rsid w:val="00FF5C34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06"/>
  </w:style>
  <w:style w:type="paragraph" w:styleId="2">
    <w:name w:val="heading 2"/>
    <w:basedOn w:val="a"/>
    <w:next w:val="a"/>
    <w:link w:val="20"/>
    <w:uiPriority w:val="9"/>
    <w:unhideWhenUsed/>
    <w:qFormat/>
    <w:rsid w:val="006B2610"/>
    <w:pPr>
      <w:keepNext/>
      <w:keepLines/>
      <w:spacing w:before="40" w:after="0" w:line="359" w:lineRule="auto"/>
      <w:ind w:right="60" w:firstLine="69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B26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4">
    <w:name w:val="Table Grid"/>
    <w:basedOn w:val="a1"/>
    <w:uiPriority w:val="39"/>
    <w:rsid w:val="006B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2610"/>
    <w:rPr>
      <w:color w:val="0563C1" w:themeColor="hyperlink"/>
      <w:u w:val="single"/>
    </w:rPr>
  </w:style>
  <w:style w:type="paragraph" w:customStyle="1" w:styleId="ConsPlusNormal">
    <w:name w:val="ConsPlusNormal"/>
    <w:rsid w:val="006B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2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2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6B2610"/>
    <w:pPr>
      <w:widowControl w:val="0"/>
      <w:autoSpaceDE w:val="0"/>
      <w:autoSpaceDN w:val="0"/>
      <w:adjustRightInd w:val="0"/>
      <w:spacing w:after="0" w:line="48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B261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B261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B2610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B2610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B2610"/>
    <w:rPr>
      <w:rFonts w:ascii="Calibri" w:hAnsi="Calibri" w:cs="Times New Roman"/>
      <w:lang w:eastAsia="ru-RU"/>
    </w:rPr>
  </w:style>
  <w:style w:type="character" w:customStyle="1" w:styleId="aa">
    <w:name w:val="Гипертекстовая ссылка"/>
    <w:basedOn w:val="a0"/>
    <w:uiPriority w:val="99"/>
    <w:rsid w:val="006B2610"/>
    <w:rPr>
      <w:b w:val="0"/>
      <w:bCs w:val="0"/>
      <w:color w:val="106BBE"/>
    </w:rPr>
  </w:style>
  <w:style w:type="character" w:customStyle="1" w:styleId="ab">
    <w:name w:val="Цветовое выделение"/>
    <w:uiPriority w:val="99"/>
    <w:rsid w:val="006B2610"/>
    <w:rPr>
      <w:b/>
      <w:bCs/>
      <w:color w:val="26282F"/>
    </w:rPr>
  </w:style>
  <w:style w:type="paragraph" w:styleId="ac">
    <w:name w:val="footnote text"/>
    <w:basedOn w:val="a"/>
    <w:link w:val="ad"/>
    <w:uiPriority w:val="99"/>
    <w:semiHidden/>
    <w:unhideWhenUsed/>
    <w:rsid w:val="006B261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B2610"/>
    <w:rPr>
      <w:rFonts w:ascii="Calibri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B2610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33B9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F33B9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33B9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3B9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3B9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33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3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9B2B-AC58-4BDD-BAC6-2EDF06E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Александра Викторовна</dc:creator>
  <cp:lastModifiedBy> </cp:lastModifiedBy>
  <cp:revision>14</cp:revision>
  <cp:lastPrinted>2024-02-08T13:57:00Z</cp:lastPrinted>
  <dcterms:created xsi:type="dcterms:W3CDTF">2024-02-08T13:07:00Z</dcterms:created>
  <dcterms:modified xsi:type="dcterms:W3CDTF">2024-02-08T14:36:00Z</dcterms:modified>
</cp:coreProperties>
</file>