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054" w:rsidRPr="00601AA3" w:rsidRDefault="00502054" w:rsidP="00BC5958">
      <w:pPr>
        <w:spacing w:beforeLines="40" w:before="96" w:afterLines="40" w:after="96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4477B" w:rsidRPr="00601AA3" w:rsidRDefault="00142139" w:rsidP="00A77AB4">
      <w:pPr>
        <w:spacing w:beforeLines="40" w:before="96" w:afterLines="40" w:after="96" w:line="240" w:lineRule="auto"/>
        <w:ind w:firstLine="8364"/>
        <w:rPr>
          <w:rFonts w:ascii="Times New Roman" w:hAnsi="Times New Roman" w:cs="Times New Roman"/>
          <w:b/>
          <w:sz w:val="24"/>
          <w:szCs w:val="24"/>
        </w:rPr>
      </w:pPr>
      <w:r w:rsidRPr="00601AA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127416</wp:posOffset>
            </wp:positionH>
            <wp:positionV relativeFrom="paragraph">
              <wp:posOffset>18005</wp:posOffset>
            </wp:positionV>
            <wp:extent cx="3357797" cy="224853"/>
            <wp:effectExtent l="1905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797" cy="224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1C53" w:rsidRPr="00601AA3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502054" w:rsidRPr="00601AA3" w:rsidRDefault="00502054" w:rsidP="00486CFC">
      <w:pPr>
        <w:spacing w:beforeLines="40" w:before="96" w:afterLines="40" w:after="96" w:line="240" w:lineRule="auto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958" w:rsidRPr="00601AA3" w:rsidRDefault="00BC5958" w:rsidP="00486CFC">
      <w:pPr>
        <w:spacing w:beforeLines="40" w:before="96" w:afterLines="40" w:after="96" w:line="240" w:lineRule="auto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958" w:rsidRPr="00601AA3" w:rsidRDefault="00BC5958" w:rsidP="00A77AB4">
      <w:pPr>
        <w:tabs>
          <w:tab w:val="left" w:pos="9071"/>
        </w:tabs>
        <w:spacing w:beforeLines="40" w:before="96" w:afterLines="40" w:after="96" w:line="240" w:lineRule="auto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958" w:rsidRPr="00601AA3" w:rsidRDefault="00BC5958" w:rsidP="00486CFC">
      <w:pPr>
        <w:spacing w:beforeLines="40" w:before="96" w:afterLines="40" w:after="96" w:line="240" w:lineRule="auto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958" w:rsidRPr="00601AA3" w:rsidRDefault="00BC5958" w:rsidP="00486CFC">
      <w:pPr>
        <w:spacing w:beforeLines="40" w:before="96" w:afterLines="40" w:after="96" w:line="240" w:lineRule="auto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90" w:rsidRPr="00601AA3" w:rsidRDefault="00403732" w:rsidP="00E74190">
      <w:pPr>
        <w:spacing w:beforeLines="40" w:before="96" w:afterLines="40" w:after="96" w:line="240" w:lineRule="auto"/>
        <w:ind w:left="284" w:right="284" w:firstLine="4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AA3">
        <w:rPr>
          <w:rFonts w:ascii="Times New Roman" w:hAnsi="Times New Roman" w:cs="Times New Roman"/>
          <w:b/>
          <w:sz w:val="24"/>
          <w:szCs w:val="24"/>
        </w:rPr>
        <w:t>Отчет Совета директоров НАУФОР</w:t>
      </w:r>
      <w:r w:rsidR="00BC5958" w:rsidRPr="00601A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1969" w:rsidRPr="00601AA3" w:rsidRDefault="00CA7E17" w:rsidP="00E74190">
      <w:pPr>
        <w:spacing w:beforeLines="40" w:before="96" w:afterLines="40" w:after="96" w:line="240" w:lineRule="auto"/>
        <w:ind w:left="284" w:right="284" w:firstLine="4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AA3">
        <w:rPr>
          <w:rFonts w:ascii="Times New Roman" w:hAnsi="Times New Roman" w:cs="Times New Roman"/>
          <w:b/>
          <w:sz w:val="24"/>
          <w:szCs w:val="24"/>
        </w:rPr>
        <w:t>за 2024 год</w:t>
      </w:r>
    </w:p>
    <w:p w:rsidR="00862680" w:rsidRPr="00601AA3" w:rsidRDefault="00862680" w:rsidP="00AC7104">
      <w:pPr>
        <w:spacing w:after="0" w:line="360" w:lineRule="auto"/>
        <w:ind w:left="284" w:right="284"/>
        <w:rPr>
          <w:rFonts w:ascii="Times New Roman" w:hAnsi="Times New Roman" w:cs="Times New Roman"/>
          <w:spacing w:val="1"/>
          <w:sz w:val="24"/>
          <w:szCs w:val="24"/>
        </w:rPr>
      </w:pPr>
    </w:p>
    <w:p w:rsidR="006F5C41" w:rsidRPr="00601AA3" w:rsidRDefault="006F5C41" w:rsidP="00A77AB4">
      <w:pPr>
        <w:spacing w:after="0" w:line="360" w:lineRule="auto"/>
        <w:ind w:left="284" w:right="-1"/>
        <w:rPr>
          <w:rFonts w:ascii="Times New Roman" w:hAnsi="Times New Roman" w:cs="Times New Roman"/>
          <w:spacing w:val="1"/>
          <w:sz w:val="24"/>
          <w:szCs w:val="24"/>
        </w:rPr>
      </w:pPr>
    </w:p>
    <w:p w:rsidR="00BC5958" w:rsidRPr="00601AA3" w:rsidRDefault="00BC5958" w:rsidP="00AC7104">
      <w:pPr>
        <w:spacing w:after="0" w:line="360" w:lineRule="auto"/>
        <w:ind w:left="284" w:right="284"/>
        <w:rPr>
          <w:rFonts w:ascii="Times New Roman" w:hAnsi="Times New Roman" w:cs="Times New Roman"/>
          <w:spacing w:val="1"/>
          <w:sz w:val="24"/>
          <w:szCs w:val="24"/>
        </w:rPr>
      </w:pPr>
    </w:p>
    <w:p w:rsidR="00862680" w:rsidRPr="00601AA3" w:rsidRDefault="00862680" w:rsidP="00A77AB4">
      <w:pPr>
        <w:tabs>
          <w:tab w:val="left" w:pos="9071"/>
        </w:tabs>
        <w:spacing w:after="0" w:line="36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1AA3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862680" w:rsidRPr="00601AA3" w:rsidRDefault="00862680" w:rsidP="00A77AB4">
      <w:pPr>
        <w:tabs>
          <w:tab w:val="left" w:pos="9071"/>
        </w:tabs>
        <w:spacing w:after="0" w:line="36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3732" w:rsidRPr="00601AA3" w:rsidRDefault="00EF11C9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  <w:r w:rsidRPr="00601AA3">
        <w:rPr>
          <w:rFonts w:ascii="Times New Roman" w:hAnsi="Times New Roman" w:cs="Times New Roman"/>
          <w:sz w:val="24"/>
          <w:szCs w:val="24"/>
        </w:rPr>
        <w:t xml:space="preserve">Совет директоров обсуждает наиболее важные </w:t>
      </w:r>
      <w:r w:rsidR="00584906" w:rsidRPr="00601AA3">
        <w:rPr>
          <w:rFonts w:ascii="Times New Roman" w:hAnsi="Times New Roman" w:cs="Times New Roman"/>
          <w:sz w:val="24"/>
          <w:szCs w:val="24"/>
        </w:rPr>
        <w:t xml:space="preserve">инициативы по </w:t>
      </w:r>
      <w:r w:rsidRPr="00601AA3">
        <w:rPr>
          <w:rFonts w:ascii="Times New Roman" w:hAnsi="Times New Roman" w:cs="Times New Roman"/>
          <w:sz w:val="24"/>
          <w:szCs w:val="24"/>
        </w:rPr>
        <w:t>изменени</w:t>
      </w:r>
      <w:r w:rsidR="00584906" w:rsidRPr="00601AA3">
        <w:rPr>
          <w:rFonts w:ascii="Times New Roman" w:hAnsi="Times New Roman" w:cs="Times New Roman"/>
          <w:sz w:val="24"/>
          <w:szCs w:val="24"/>
        </w:rPr>
        <w:t>ю</w:t>
      </w:r>
      <w:r w:rsidRPr="00601AA3">
        <w:rPr>
          <w:rFonts w:ascii="Times New Roman" w:hAnsi="Times New Roman" w:cs="Times New Roman"/>
          <w:sz w:val="24"/>
          <w:szCs w:val="24"/>
        </w:rPr>
        <w:t xml:space="preserve"> регулировани</w:t>
      </w:r>
      <w:r w:rsidR="00584906" w:rsidRPr="00601AA3">
        <w:rPr>
          <w:rFonts w:ascii="Times New Roman" w:hAnsi="Times New Roman" w:cs="Times New Roman"/>
          <w:sz w:val="24"/>
          <w:szCs w:val="24"/>
        </w:rPr>
        <w:t>я</w:t>
      </w:r>
      <w:r w:rsidRPr="00601AA3">
        <w:rPr>
          <w:rFonts w:ascii="Times New Roman" w:hAnsi="Times New Roman" w:cs="Times New Roman"/>
          <w:sz w:val="24"/>
          <w:szCs w:val="24"/>
        </w:rPr>
        <w:t xml:space="preserve"> финансового рынка и формирует позицию </w:t>
      </w:r>
      <w:r w:rsidR="009763C2" w:rsidRPr="00601AA3">
        <w:rPr>
          <w:rFonts w:ascii="Times New Roman" w:hAnsi="Times New Roman" w:cs="Times New Roman"/>
          <w:sz w:val="24"/>
          <w:szCs w:val="24"/>
        </w:rPr>
        <w:t>а</w:t>
      </w:r>
      <w:r w:rsidRPr="00601AA3">
        <w:rPr>
          <w:rFonts w:ascii="Times New Roman" w:hAnsi="Times New Roman" w:cs="Times New Roman"/>
          <w:sz w:val="24"/>
          <w:szCs w:val="24"/>
        </w:rPr>
        <w:t xml:space="preserve">ссоциации в дискуссии </w:t>
      </w:r>
      <w:r w:rsidR="00A77AB4" w:rsidRPr="00601AA3">
        <w:rPr>
          <w:rFonts w:ascii="Times New Roman" w:hAnsi="Times New Roman" w:cs="Times New Roman"/>
          <w:sz w:val="24"/>
          <w:szCs w:val="24"/>
        </w:rPr>
        <w:br/>
      </w:r>
      <w:r w:rsidRPr="00601AA3">
        <w:rPr>
          <w:rFonts w:ascii="Times New Roman" w:hAnsi="Times New Roman" w:cs="Times New Roman"/>
          <w:sz w:val="24"/>
          <w:szCs w:val="24"/>
        </w:rPr>
        <w:t xml:space="preserve">с Банком России, Правительством </w:t>
      </w:r>
      <w:r w:rsidR="00E01907" w:rsidRPr="00601AA3">
        <w:rPr>
          <w:rFonts w:ascii="Times New Roman" w:hAnsi="Times New Roman" w:cs="Times New Roman"/>
          <w:sz w:val="24"/>
          <w:szCs w:val="24"/>
        </w:rPr>
        <w:t xml:space="preserve">России </w:t>
      </w:r>
      <w:r w:rsidRPr="00601AA3">
        <w:rPr>
          <w:rFonts w:ascii="Times New Roman" w:hAnsi="Times New Roman" w:cs="Times New Roman"/>
          <w:sz w:val="24"/>
          <w:szCs w:val="24"/>
        </w:rPr>
        <w:t>и Федеральным собранием</w:t>
      </w:r>
      <w:r w:rsidR="00E01907" w:rsidRPr="00601AA3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601AA3">
        <w:rPr>
          <w:rFonts w:ascii="Times New Roman" w:hAnsi="Times New Roman" w:cs="Times New Roman"/>
          <w:sz w:val="24"/>
          <w:szCs w:val="24"/>
        </w:rPr>
        <w:t xml:space="preserve">, </w:t>
      </w:r>
      <w:r w:rsidR="00584906" w:rsidRPr="00601AA3">
        <w:rPr>
          <w:rFonts w:ascii="Times New Roman" w:hAnsi="Times New Roman" w:cs="Times New Roman"/>
          <w:sz w:val="24"/>
          <w:szCs w:val="24"/>
        </w:rPr>
        <w:t xml:space="preserve">разрабатывает собственные инициативы, </w:t>
      </w:r>
      <w:r w:rsidRPr="00601AA3">
        <w:rPr>
          <w:rFonts w:ascii="Times New Roman" w:hAnsi="Times New Roman" w:cs="Times New Roman"/>
          <w:sz w:val="24"/>
          <w:szCs w:val="24"/>
        </w:rPr>
        <w:t xml:space="preserve">утверждает обязательные для ее членов правила деятельности – внутренние стандарты, выбирает Президента </w:t>
      </w:r>
      <w:r w:rsidR="00E01907" w:rsidRPr="00601AA3">
        <w:rPr>
          <w:rFonts w:ascii="Times New Roman" w:hAnsi="Times New Roman" w:cs="Times New Roman"/>
          <w:sz w:val="24"/>
          <w:szCs w:val="24"/>
        </w:rPr>
        <w:t xml:space="preserve">НАУФОР </w:t>
      </w:r>
      <w:r w:rsidRPr="00601AA3">
        <w:rPr>
          <w:rFonts w:ascii="Times New Roman" w:hAnsi="Times New Roman" w:cs="Times New Roman"/>
          <w:sz w:val="24"/>
          <w:szCs w:val="24"/>
        </w:rPr>
        <w:t xml:space="preserve">и контролирует его деятельность, формирует комитеты НАУФОР, а также рассматривает жалобы на решения </w:t>
      </w:r>
      <w:r w:rsidR="007B3B8B" w:rsidRPr="00601AA3">
        <w:rPr>
          <w:rFonts w:ascii="Times New Roman" w:hAnsi="Times New Roman" w:cs="Times New Roman"/>
          <w:sz w:val="24"/>
          <w:szCs w:val="24"/>
        </w:rPr>
        <w:t>Д</w:t>
      </w:r>
      <w:r w:rsidRPr="00601AA3">
        <w:rPr>
          <w:rFonts w:ascii="Times New Roman" w:hAnsi="Times New Roman" w:cs="Times New Roman"/>
          <w:sz w:val="24"/>
          <w:szCs w:val="24"/>
        </w:rPr>
        <w:t>исциплинарного комитета</w:t>
      </w:r>
      <w:r w:rsidR="00E01907" w:rsidRPr="00601AA3">
        <w:rPr>
          <w:rFonts w:ascii="Times New Roman" w:hAnsi="Times New Roman" w:cs="Times New Roman"/>
          <w:sz w:val="24"/>
          <w:szCs w:val="24"/>
        </w:rPr>
        <w:t xml:space="preserve"> НАУФОР</w:t>
      </w:r>
      <w:r w:rsidRPr="00601A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11C9" w:rsidRPr="00601AA3" w:rsidRDefault="00EF11C9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</w:p>
    <w:p w:rsidR="00C9246C" w:rsidRPr="00601AA3" w:rsidRDefault="00A77AB4" w:rsidP="00A77AB4">
      <w:pPr>
        <w:pStyle w:val="aa"/>
        <w:tabs>
          <w:tab w:val="left" w:pos="9071"/>
        </w:tabs>
        <w:spacing w:after="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601AA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9246C" w:rsidRPr="00601AA3">
        <w:rPr>
          <w:rFonts w:ascii="Times New Roman" w:hAnsi="Times New Roman" w:cs="Times New Roman"/>
          <w:b/>
          <w:sz w:val="24"/>
          <w:szCs w:val="24"/>
        </w:rPr>
        <w:t xml:space="preserve">Обсуждение </w:t>
      </w:r>
      <w:r w:rsidR="008438B2" w:rsidRPr="00601AA3">
        <w:rPr>
          <w:rFonts w:ascii="Times New Roman" w:hAnsi="Times New Roman" w:cs="Times New Roman"/>
          <w:b/>
          <w:sz w:val="24"/>
          <w:szCs w:val="24"/>
        </w:rPr>
        <w:t xml:space="preserve">изменений в регулировании </w:t>
      </w:r>
      <w:r w:rsidR="009763C2" w:rsidRPr="00601AA3">
        <w:rPr>
          <w:rFonts w:ascii="Times New Roman" w:hAnsi="Times New Roman" w:cs="Times New Roman"/>
          <w:b/>
          <w:sz w:val="24"/>
          <w:szCs w:val="24"/>
        </w:rPr>
        <w:t>финансового рынка</w:t>
      </w:r>
    </w:p>
    <w:p w:rsidR="00584906" w:rsidRPr="00601AA3" w:rsidRDefault="00584906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</w:p>
    <w:p w:rsidR="00584906" w:rsidRPr="00601AA3" w:rsidRDefault="00584906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i/>
          <w:sz w:val="24"/>
          <w:szCs w:val="24"/>
        </w:rPr>
      </w:pPr>
      <w:r w:rsidRPr="00601AA3">
        <w:rPr>
          <w:rFonts w:ascii="Times New Roman" w:hAnsi="Times New Roman" w:cs="Times New Roman"/>
          <w:i/>
          <w:sz w:val="24"/>
          <w:szCs w:val="24"/>
        </w:rPr>
        <w:t xml:space="preserve">«Основные направления развития финансового рынка Российской Федерации </w:t>
      </w:r>
      <w:r w:rsidR="00A77AB4" w:rsidRPr="00601AA3">
        <w:rPr>
          <w:rFonts w:ascii="Times New Roman" w:hAnsi="Times New Roman" w:cs="Times New Roman"/>
          <w:i/>
          <w:sz w:val="24"/>
          <w:szCs w:val="24"/>
        </w:rPr>
        <w:br/>
      </w:r>
      <w:r w:rsidRPr="00601AA3">
        <w:rPr>
          <w:rFonts w:ascii="Times New Roman" w:hAnsi="Times New Roman" w:cs="Times New Roman"/>
          <w:i/>
          <w:sz w:val="24"/>
          <w:szCs w:val="24"/>
        </w:rPr>
        <w:t>на 2025 год и период 2026 и 2027 годов»</w:t>
      </w:r>
    </w:p>
    <w:p w:rsidR="00584906" w:rsidRPr="00601AA3" w:rsidRDefault="00584906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</w:p>
    <w:p w:rsidR="005807A4" w:rsidRPr="00601AA3" w:rsidRDefault="008438B2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  <w:r w:rsidRPr="00601AA3">
        <w:rPr>
          <w:rFonts w:ascii="Times New Roman" w:hAnsi="Times New Roman" w:cs="Times New Roman"/>
          <w:sz w:val="24"/>
          <w:szCs w:val="24"/>
        </w:rPr>
        <w:t xml:space="preserve">Предметом ежегодного обсуждения в </w:t>
      </w:r>
      <w:r w:rsidR="00F32661" w:rsidRPr="00601AA3">
        <w:rPr>
          <w:rFonts w:ascii="Times New Roman" w:hAnsi="Times New Roman" w:cs="Times New Roman"/>
          <w:sz w:val="24"/>
          <w:szCs w:val="24"/>
        </w:rPr>
        <w:t>С</w:t>
      </w:r>
      <w:r w:rsidRPr="00601AA3">
        <w:rPr>
          <w:rFonts w:ascii="Times New Roman" w:hAnsi="Times New Roman" w:cs="Times New Roman"/>
          <w:sz w:val="24"/>
          <w:szCs w:val="24"/>
        </w:rPr>
        <w:t xml:space="preserve">овете директоров НАУФОР являются проекты </w:t>
      </w:r>
      <w:r w:rsidR="009763C2" w:rsidRPr="00601AA3">
        <w:rPr>
          <w:rFonts w:ascii="Times New Roman" w:hAnsi="Times New Roman" w:cs="Times New Roman"/>
          <w:sz w:val="24"/>
          <w:szCs w:val="24"/>
        </w:rPr>
        <w:t>о</w:t>
      </w:r>
      <w:r w:rsidRPr="00601AA3">
        <w:rPr>
          <w:rFonts w:ascii="Times New Roman" w:hAnsi="Times New Roman" w:cs="Times New Roman"/>
          <w:sz w:val="24"/>
          <w:szCs w:val="24"/>
        </w:rPr>
        <w:t xml:space="preserve">сновных направлений развития финансового рынка Российской Федерации, подготавливаемые Банком России. </w:t>
      </w:r>
      <w:r w:rsidR="005807A4" w:rsidRPr="00601AA3">
        <w:rPr>
          <w:rFonts w:ascii="Times New Roman" w:hAnsi="Times New Roman" w:cs="Times New Roman"/>
          <w:sz w:val="24"/>
          <w:szCs w:val="24"/>
        </w:rPr>
        <w:t xml:space="preserve">В </w:t>
      </w:r>
      <w:r w:rsidR="005B2911" w:rsidRPr="00601AA3">
        <w:rPr>
          <w:rFonts w:ascii="Times New Roman" w:hAnsi="Times New Roman" w:cs="Times New Roman"/>
          <w:sz w:val="24"/>
          <w:szCs w:val="24"/>
        </w:rPr>
        <w:t>сентябре</w:t>
      </w:r>
      <w:r w:rsidR="005807A4" w:rsidRPr="00601AA3">
        <w:rPr>
          <w:rFonts w:ascii="Times New Roman" w:hAnsi="Times New Roman" w:cs="Times New Roman"/>
          <w:sz w:val="24"/>
          <w:szCs w:val="24"/>
        </w:rPr>
        <w:t xml:space="preserve"> 202</w:t>
      </w:r>
      <w:r w:rsidR="005B2911" w:rsidRPr="00601AA3">
        <w:rPr>
          <w:rFonts w:ascii="Times New Roman" w:hAnsi="Times New Roman" w:cs="Times New Roman"/>
          <w:sz w:val="24"/>
          <w:szCs w:val="24"/>
        </w:rPr>
        <w:t>4</w:t>
      </w:r>
      <w:r w:rsidR="005807A4" w:rsidRPr="00601AA3">
        <w:rPr>
          <w:rFonts w:ascii="Times New Roman" w:hAnsi="Times New Roman" w:cs="Times New Roman"/>
          <w:sz w:val="24"/>
          <w:szCs w:val="24"/>
        </w:rPr>
        <w:t xml:space="preserve"> год</w:t>
      </w:r>
      <w:r w:rsidR="009763C2" w:rsidRPr="00601AA3">
        <w:rPr>
          <w:rFonts w:ascii="Times New Roman" w:hAnsi="Times New Roman" w:cs="Times New Roman"/>
          <w:sz w:val="24"/>
          <w:szCs w:val="24"/>
        </w:rPr>
        <w:t>а Банк России опубликовал, пред</w:t>
      </w:r>
      <w:r w:rsidR="00F32661" w:rsidRPr="00601AA3">
        <w:rPr>
          <w:rFonts w:ascii="Times New Roman" w:hAnsi="Times New Roman" w:cs="Times New Roman"/>
          <w:sz w:val="24"/>
          <w:szCs w:val="24"/>
        </w:rPr>
        <w:t>л</w:t>
      </w:r>
      <w:r w:rsidR="009763C2" w:rsidRPr="00601AA3">
        <w:rPr>
          <w:rFonts w:ascii="Times New Roman" w:hAnsi="Times New Roman" w:cs="Times New Roman"/>
          <w:sz w:val="24"/>
          <w:szCs w:val="24"/>
        </w:rPr>
        <w:t>ожив к обсуждению</w:t>
      </w:r>
      <w:r w:rsidR="00F32661" w:rsidRPr="00601AA3">
        <w:rPr>
          <w:rFonts w:ascii="Times New Roman" w:hAnsi="Times New Roman" w:cs="Times New Roman"/>
          <w:sz w:val="24"/>
          <w:szCs w:val="24"/>
        </w:rPr>
        <w:t>,</w:t>
      </w:r>
      <w:r w:rsidR="009763C2" w:rsidRPr="00601AA3">
        <w:rPr>
          <w:rFonts w:ascii="Times New Roman" w:hAnsi="Times New Roman" w:cs="Times New Roman"/>
          <w:sz w:val="24"/>
          <w:szCs w:val="24"/>
        </w:rPr>
        <w:t xml:space="preserve"> </w:t>
      </w:r>
      <w:r w:rsidR="005807A4" w:rsidRPr="00601AA3">
        <w:rPr>
          <w:rFonts w:ascii="Times New Roman" w:hAnsi="Times New Roman" w:cs="Times New Roman"/>
          <w:sz w:val="24"/>
          <w:szCs w:val="24"/>
        </w:rPr>
        <w:t>проект «Основных направлений развития финансового рынка Российской Федерации на 202</w:t>
      </w:r>
      <w:r w:rsidR="00106669" w:rsidRPr="00601AA3">
        <w:rPr>
          <w:rFonts w:ascii="Times New Roman" w:hAnsi="Times New Roman" w:cs="Times New Roman"/>
          <w:sz w:val="24"/>
          <w:szCs w:val="24"/>
        </w:rPr>
        <w:t>5</w:t>
      </w:r>
      <w:r w:rsidR="005807A4" w:rsidRPr="00601AA3">
        <w:rPr>
          <w:rFonts w:ascii="Times New Roman" w:hAnsi="Times New Roman" w:cs="Times New Roman"/>
          <w:sz w:val="24"/>
          <w:szCs w:val="24"/>
        </w:rPr>
        <w:t xml:space="preserve"> год и период 202</w:t>
      </w:r>
      <w:r w:rsidR="00106669" w:rsidRPr="00601AA3">
        <w:rPr>
          <w:rFonts w:ascii="Times New Roman" w:hAnsi="Times New Roman" w:cs="Times New Roman"/>
          <w:sz w:val="24"/>
          <w:szCs w:val="24"/>
        </w:rPr>
        <w:t>6</w:t>
      </w:r>
      <w:r w:rsidR="005807A4" w:rsidRPr="00601AA3">
        <w:rPr>
          <w:rFonts w:ascii="Times New Roman" w:hAnsi="Times New Roman" w:cs="Times New Roman"/>
          <w:sz w:val="24"/>
          <w:szCs w:val="24"/>
        </w:rPr>
        <w:t xml:space="preserve"> и 202</w:t>
      </w:r>
      <w:r w:rsidR="00106669" w:rsidRPr="00601AA3">
        <w:rPr>
          <w:rFonts w:ascii="Times New Roman" w:hAnsi="Times New Roman" w:cs="Times New Roman"/>
          <w:sz w:val="24"/>
          <w:szCs w:val="24"/>
        </w:rPr>
        <w:t>7</w:t>
      </w:r>
      <w:r w:rsidR="005807A4" w:rsidRPr="00601AA3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C9246C" w:rsidRPr="00601AA3">
        <w:rPr>
          <w:rFonts w:ascii="Times New Roman" w:hAnsi="Times New Roman" w:cs="Times New Roman"/>
          <w:sz w:val="24"/>
          <w:szCs w:val="24"/>
        </w:rPr>
        <w:t xml:space="preserve">. НАУФОР приняла активное участие в обсуждении этого </w:t>
      </w:r>
      <w:r w:rsidR="005807A4" w:rsidRPr="00601AA3">
        <w:rPr>
          <w:rFonts w:ascii="Times New Roman" w:hAnsi="Times New Roman" w:cs="Times New Roman"/>
          <w:sz w:val="24"/>
          <w:szCs w:val="24"/>
        </w:rPr>
        <w:t>концептуального документа</w:t>
      </w:r>
      <w:r w:rsidR="005807A4" w:rsidRPr="00601AA3">
        <w:rPr>
          <w:rStyle w:val="ae"/>
          <w:rFonts w:ascii="Times New Roman" w:hAnsi="Times New Roman" w:cs="Times New Roman"/>
          <w:sz w:val="24"/>
          <w:szCs w:val="24"/>
        </w:rPr>
        <w:footnoteReference w:id="1"/>
      </w:r>
      <w:r w:rsidR="00C9246C" w:rsidRPr="00601AA3">
        <w:rPr>
          <w:rFonts w:ascii="Times New Roman" w:hAnsi="Times New Roman" w:cs="Times New Roman"/>
          <w:sz w:val="24"/>
          <w:szCs w:val="24"/>
        </w:rPr>
        <w:t>.</w:t>
      </w:r>
    </w:p>
    <w:p w:rsidR="00D15CBC" w:rsidRPr="00601AA3" w:rsidRDefault="00C9246C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  <w:r w:rsidRPr="00601AA3">
        <w:rPr>
          <w:rFonts w:ascii="Times New Roman" w:hAnsi="Times New Roman" w:cs="Times New Roman"/>
          <w:sz w:val="24"/>
          <w:szCs w:val="24"/>
        </w:rPr>
        <w:t xml:space="preserve">Поддержав ряд предложений </w:t>
      </w:r>
      <w:r w:rsidR="005807A4" w:rsidRPr="00601AA3">
        <w:rPr>
          <w:rFonts w:ascii="Times New Roman" w:hAnsi="Times New Roman" w:cs="Times New Roman"/>
          <w:sz w:val="24"/>
          <w:szCs w:val="24"/>
        </w:rPr>
        <w:t>по развитию долгосрочных инвестиций</w:t>
      </w:r>
      <w:r w:rsidR="00F91173" w:rsidRPr="00601AA3">
        <w:rPr>
          <w:rFonts w:ascii="Times New Roman" w:hAnsi="Times New Roman" w:cs="Times New Roman"/>
          <w:sz w:val="24"/>
          <w:szCs w:val="24"/>
        </w:rPr>
        <w:t>,</w:t>
      </w:r>
      <w:r w:rsidR="005807A4" w:rsidRPr="00601AA3">
        <w:rPr>
          <w:rFonts w:ascii="Times New Roman" w:hAnsi="Times New Roman" w:cs="Times New Roman"/>
          <w:sz w:val="24"/>
          <w:szCs w:val="24"/>
        </w:rPr>
        <w:t xml:space="preserve"> НАУФОР </w:t>
      </w:r>
      <w:r w:rsidRPr="00601AA3">
        <w:rPr>
          <w:rFonts w:ascii="Times New Roman" w:hAnsi="Times New Roman" w:cs="Times New Roman"/>
          <w:sz w:val="24"/>
          <w:szCs w:val="24"/>
        </w:rPr>
        <w:t>направила регулятору</w:t>
      </w:r>
      <w:r w:rsidR="000A049B" w:rsidRPr="00601AA3">
        <w:rPr>
          <w:rFonts w:ascii="Times New Roman" w:hAnsi="Times New Roman" w:cs="Times New Roman"/>
          <w:sz w:val="24"/>
          <w:szCs w:val="24"/>
        </w:rPr>
        <w:t xml:space="preserve"> предложения по дальнейшей доработке действующего </w:t>
      </w:r>
      <w:r w:rsidR="000A049B" w:rsidRPr="00601AA3">
        <w:rPr>
          <w:rFonts w:ascii="Times New Roman" w:hAnsi="Times New Roman" w:cs="Times New Roman"/>
          <w:sz w:val="24"/>
          <w:szCs w:val="24"/>
        </w:rPr>
        <w:lastRenderedPageBreak/>
        <w:t>механизма индивидуальных инвестиционных счетов, предусматривающи</w:t>
      </w:r>
      <w:r w:rsidR="00F97832" w:rsidRPr="00601AA3">
        <w:rPr>
          <w:rFonts w:ascii="Times New Roman" w:hAnsi="Times New Roman" w:cs="Times New Roman"/>
          <w:sz w:val="24"/>
          <w:szCs w:val="24"/>
        </w:rPr>
        <w:t>е</w:t>
      </w:r>
      <w:r w:rsidR="000A049B" w:rsidRPr="00601AA3">
        <w:rPr>
          <w:rFonts w:ascii="Times New Roman" w:hAnsi="Times New Roman" w:cs="Times New Roman"/>
          <w:sz w:val="24"/>
          <w:szCs w:val="24"/>
        </w:rPr>
        <w:t xml:space="preserve"> отмену </w:t>
      </w:r>
      <w:r w:rsidR="00297770" w:rsidRPr="00601AA3">
        <w:rPr>
          <w:rFonts w:ascii="Times New Roman" w:hAnsi="Times New Roman" w:cs="Times New Roman"/>
          <w:sz w:val="24"/>
          <w:szCs w:val="24"/>
        </w:rPr>
        <w:t xml:space="preserve">запрета на получение доходов по любым ценным бумагам, учитываемым на ИИС-3, </w:t>
      </w:r>
      <w:r w:rsidR="00A77AB4" w:rsidRPr="00601AA3">
        <w:rPr>
          <w:rFonts w:ascii="Times New Roman" w:hAnsi="Times New Roman" w:cs="Times New Roman"/>
          <w:sz w:val="24"/>
          <w:szCs w:val="24"/>
        </w:rPr>
        <w:br/>
      </w:r>
      <w:r w:rsidR="00297770" w:rsidRPr="00601AA3">
        <w:rPr>
          <w:rFonts w:ascii="Times New Roman" w:hAnsi="Times New Roman" w:cs="Times New Roman"/>
          <w:sz w:val="24"/>
          <w:szCs w:val="24"/>
        </w:rPr>
        <w:t xml:space="preserve">на банковские счета инвесторов, а также </w:t>
      </w:r>
      <w:r w:rsidR="0013193E" w:rsidRPr="00601AA3">
        <w:rPr>
          <w:rFonts w:ascii="Times New Roman" w:hAnsi="Times New Roman" w:cs="Times New Roman"/>
          <w:sz w:val="24"/>
          <w:szCs w:val="24"/>
        </w:rPr>
        <w:t>предусматривающих для владельцев ИИС-3 набор стимулов, увеличивающ</w:t>
      </w:r>
      <w:r w:rsidR="0009045C" w:rsidRPr="00601AA3">
        <w:rPr>
          <w:rFonts w:ascii="Times New Roman" w:hAnsi="Times New Roman" w:cs="Times New Roman"/>
          <w:sz w:val="24"/>
          <w:szCs w:val="24"/>
        </w:rPr>
        <w:t>ийся</w:t>
      </w:r>
      <w:r w:rsidR="0013193E" w:rsidRPr="00601AA3">
        <w:rPr>
          <w:rFonts w:ascii="Times New Roman" w:hAnsi="Times New Roman" w:cs="Times New Roman"/>
          <w:sz w:val="24"/>
          <w:szCs w:val="24"/>
        </w:rPr>
        <w:t xml:space="preserve"> в зависимости от срока существования счета.</w:t>
      </w:r>
      <w:r w:rsidR="001F5588" w:rsidRPr="00601AA3">
        <w:rPr>
          <w:rFonts w:ascii="Times New Roman" w:hAnsi="Times New Roman" w:cs="Times New Roman"/>
          <w:sz w:val="24"/>
          <w:szCs w:val="24"/>
        </w:rPr>
        <w:t xml:space="preserve"> </w:t>
      </w:r>
      <w:r w:rsidR="002A1A9E" w:rsidRPr="00601AA3">
        <w:rPr>
          <w:rFonts w:ascii="Times New Roman" w:hAnsi="Times New Roman" w:cs="Times New Roman"/>
          <w:sz w:val="24"/>
          <w:szCs w:val="24"/>
        </w:rPr>
        <w:t>Кроме того</w:t>
      </w:r>
      <w:r w:rsidR="001F5588" w:rsidRPr="00601AA3">
        <w:rPr>
          <w:rFonts w:ascii="Times New Roman" w:hAnsi="Times New Roman" w:cs="Times New Roman"/>
          <w:sz w:val="24"/>
          <w:szCs w:val="24"/>
        </w:rPr>
        <w:t xml:space="preserve">, были </w:t>
      </w:r>
      <w:r w:rsidR="009763C2" w:rsidRPr="00601AA3">
        <w:rPr>
          <w:rFonts w:ascii="Times New Roman" w:hAnsi="Times New Roman" w:cs="Times New Roman"/>
          <w:sz w:val="24"/>
          <w:szCs w:val="24"/>
        </w:rPr>
        <w:t xml:space="preserve">сделаны </w:t>
      </w:r>
      <w:r w:rsidR="002A1A9E" w:rsidRPr="00601AA3">
        <w:rPr>
          <w:rFonts w:ascii="Times New Roman" w:hAnsi="Times New Roman" w:cs="Times New Roman"/>
          <w:sz w:val="24"/>
          <w:szCs w:val="24"/>
        </w:rPr>
        <w:t xml:space="preserve">предложения, направленные на </w:t>
      </w:r>
      <w:r w:rsidR="0009045C" w:rsidRPr="00601AA3">
        <w:rPr>
          <w:rFonts w:ascii="Times New Roman" w:hAnsi="Times New Roman" w:cs="Times New Roman"/>
          <w:sz w:val="24"/>
          <w:szCs w:val="24"/>
        </w:rPr>
        <w:t>стимулирование</w:t>
      </w:r>
      <w:r w:rsidR="00667D24" w:rsidRPr="00601AA3">
        <w:rPr>
          <w:rFonts w:ascii="Times New Roman" w:hAnsi="Times New Roman" w:cs="Times New Roman"/>
          <w:sz w:val="24"/>
          <w:szCs w:val="24"/>
        </w:rPr>
        <w:t xml:space="preserve"> долгосрочных инвестиций граждан, в том числе </w:t>
      </w:r>
      <w:r w:rsidR="001F5588" w:rsidRPr="00601AA3">
        <w:rPr>
          <w:rFonts w:ascii="Times New Roman" w:hAnsi="Times New Roman" w:cs="Times New Roman"/>
          <w:sz w:val="24"/>
          <w:szCs w:val="24"/>
        </w:rPr>
        <w:t xml:space="preserve">по </w:t>
      </w:r>
      <w:r w:rsidR="00DB66A0" w:rsidRPr="00601AA3">
        <w:rPr>
          <w:rFonts w:ascii="Times New Roman" w:hAnsi="Times New Roman" w:cs="Times New Roman"/>
          <w:sz w:val="24"/>
          <w:szCs w:val="24"/>
        </w:rPr>
        <w:t>повышению инвестиционной привлекательности ПИФ</w:t>
      </w:r>
      <w:r w:rsidR="00BF05F6" w:rsidRPr="00601AA3">
        <w:rPr>
          <w:rFonts w:ascii="Times New Roman" w:hAnsi="Times New Roman" w:cs="Times New Roman"/>
          <w:sz w:val="24"/>
          <w:szCs w:val="24"/>
        </w:rPr>
        <w:t xml:space="preserve">, </w:t>
      </w:r>
      <w:r w:rsidR="00D15CBC" w:rsidRPr="00601AA3">
        <w:rPr>
          <w:rFonts w:ascii="Times New Roman" w:hAnsi="Times New Roman" w:cs="Times New Roman"/>
          <w:sz w:val="24"/>
          <w:szCs w:val="24"/>
        </w:rPr>
        <w:t>расширению инвестиционных возможностей НПФ</w:t>
      </w:r>
      <w:r w:rsidR="00667D24" w:rsidRPr="00601AA3">
        <w:rPr>
          <w:rFonts w:ascii="Times New Roman" w:hAnsi="Times New Roman" w:cs="Times New Roman"/>
          <w:sz w:val="24"/>
          <w:szCs w:val="24"/>
        </w:rPr>
        <w:t xml:space="preserve"> и расширению доступа неквалифицированных инвесторов к финансовым инструментам.</w:t>
      </w:r>
    </w:p>
    <w:p w:rsidR="00F32661" w:rsidRPr="00601AA3" w:rsidRDefault="007350A6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  <w:r w:rsidRPr="00601AA3">
        <w:rPr>
          <w:rFonts w:ascii="Times New Roman" w:hAnsi="Times New Roman" w:cs="Times New Roman"/>
          <w:sz w:val="24"/>
          <w:szCs w:val="24"/>
        </w:rPr>
        <w:t xml:space="preserve">НАУФОР вышла с предложением об упрощении процесса выпуска ценных бумаг </w:t>
      </w:r>
      <w:r w:rsidR="00F32661" w:rsidRPr="00601AA3">
        <w:rPr>
          <w:rFonts w:ascii="Times New Roman" w:hAnsi="Times New Roman" w:cs="Times New Roman"/>
          <w:sz w:val="24"/>
          <w:szCs w:val="24"/>
        </w:rPr>
        <w:t xml:space="preserve">путем освобождения от регистрации в Банке России решений о выпуске облигаций, выпуск которых не сопровождается проспектом, расширения случаев выпуска облигаций без проспекта, расширения полномочий бирж по регистрации облигаций, </w:t>
      </w:r>
      <w:r w:rsidR="00A77AB4" w:rsidRPr="00601AA3">
        <w:rPr>
          <w:rFonts w:ascii="Times New Roman" w:hAnsi="Times New Roman" w:cs="Times New Roman"/>
          <w:sz w:val="24"/>
          <w:szCs w:val="24"/>
        </w:rPr>
        <w:br/>
      </w:r>
      <w:r w:rsidR="00F32661" w:rsidRPr="00601AA3">
        <w:rPr>
          <w:rFonts w:ascii="Times New Roman" w:hAnsi="Times New Roman" w:cs="Times New Roman"/>
          <w:sz w:val="24"/>
          <w:szCs w:val="24"/>
        </w:rPr>
        <w:t xml:space="preserve">а также упрощения содержания эмиссионной документации </w:t>
      </w:r>
      <w:r w:rsidR="00E01907" w:rsidRPr="00601AA3">
        <w:rPr>
          <w:rFonts w:ascii="Times New Roman" w:hAnsi="Times New Roman" w:cs="Times New Roman"/>
          <w:sz w:val="24"/>
          <w:szCs w:val="24"/>
        </w:rPr>
        <w:t>за счет</w:t>
      </w:r>
      <w:r w:rsidR="00F32661" w:rsidRPr="00601AA3">
        <w:rPr>
          <w:rFonts w:ascii="Times New Roman" w:hAnsi="Times New Roman" w:cs="Times New Roman"/>
          <w:sz w:val="24"/>
          <w:szCs w:val="24"/>
        </w:rPr>
        <w:t xml:space="preserve"> исключения из нее формальных сведений, не относящихся напрямую к размещаемым ценным бумагам.</w:t>
      </w:r>
    </w:p>
    <w:p w:rsidR="007222B0" w:rsidRPr="00601AA3" w:rsidRDefault="007222B0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i/>
          <w:sz w:val="24"/>
          <w:szCs w:val="24"/>
        </w:rPr>
      </w:pPr>
    </w:p>
    <w:p w:rsidR="007222B0" w:rsidRPr="00601AA3" w:rsidRDefault="007222B0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i/>
          <w:sz w:val="24"/>
          <w:szCs w:val="24"/>
        </w:rPr>
      </w:pPr>
      <w:r w:rsidRPr="00601AA3">
        <w:rPr>
          <w:rFonts w:ascii="Times New Roman" w:hAnsi="Times New Roman" w:cs="Times New Roman"/>
          <w:i/>
          <w:sz w:val="24"/>
          <w:szCs w:val="24"/>
        </w:rPr>
        <w:t xml:space="preserve">Справочно: </w:t>
      </w:r>
      <w:r w:rsidR="00A77AB4" w:rsidRPr="00601AA3">
        <w:rPr>
          <w:rFonts w:ascii="Times New Roman" w:hAnsi="Times New Roman" w:cs="Times New Roman"/>
          <w:i/>
          <w:sz w:val="24"/>
          <w:szCs w:val="24"/>
        </w:rPr>
        <w:t>в</w:t>
      </w:r>
      <w:r w:rsidRPr="00601AA3">
        <w:rPr>
          <w:rFonts w:ascii="Times New Roman" w:hAnsi="Times New Roman" w:cs="Times New Roman"/>
          <w:i/>
          <w:sz w:val="24"/>
          <w:szCs w:val="24"/>
        </w:rPr>
        <w:t xml:space="preserve"> развитие предложений Комитет Совета директоров </w:t>
      </w:r>
      <w:r w:rsidR="00A77AB4" w:rsidRPr="00601AA3">
        <w:rPr>
          <w:rFonts w:ascii="Times New Roman" w:hAnsi="Times New Roman" w:cs="Times New Roman"/>
          <w:i/>
          <w:sz w:val="24"/>
          <w:szCs w:val="24"/>
        </w:rPr>
        <w:br/>
      </w:r>
      <w:r w:rsidRPr="00601AA3">
        <w:rPr>
          <w:rFonts w:ascii="Times New Roman" w:hAnsi="Times New Roman" w:cs="Times New Roman"/>
          <w:i/>
          <w:sz w:val="24"/>
          <w:szCs w:val="24"/>
        </w:rPr>
        <w:t>по стратегическому развитию разработал, а Совет директоров в апреле 2025 года одобрил Программу развития рынка капитала 2025-2030</w:t>
      </w:r>
      <w:r w:rsidRPr="00601AA3">
        <w:rPr>
          <w:rStyle w:val="ae"/>
          <w:rFonts w:ascii="Times New Roman" w:hAnsi="Times New Roman" w:cs="Times New Roman"/>
          <w:i/>
          <w:sz w:val="24"/>
          <w:szCs w:val="24"/>
        </w:rPr>
        <w:footnoteReference w:id="2"/>
      </w:r>
      <w:r w:rsidRPr="00601AA3">
        <w:rPr>
          <w:rFonts w:ascii="Times New Roman" w:hAnsi="Times New Roman" w:cs="Times New Roman"/>
          <w:i/>
          <w:sz w:val="24"/>
          <w:szCs w:val="24"/>
        </w:rPr>
        <w:t xml:space="preserve">, отражающую позицию НАУФОР в дискуссии об увеличении капитализации к 2030 году. Программа содержит описание текущего состояния российского фондового рынка, </w:t>
      </w:r>
      <w:r w:rsidR="00C81A0D" w:rsidRPr="00601AA3">
        <w:rPr>
          <w:rFonts w:ascii="Times New Roman" w:hAnsi="Times New Roman" w:cs="Times New Roman"/>
          <w:i/>
          <w:sz w:val="24"/>
          <w:szCs w:val="24"/>
        </w:rPr>
        <w:t xml:space="preserve">целевые показатели </w:t>
      </w:r>
      <w:r w:rsidRPr="00601AA3">
        <w:rPr>
          <w:rFonts w:ascii="Times New Roman" w:hAnsi="Times New Roman" w:cs="Times New Roman"/>
          <w:i/>
          <w:sz w:val="24"/>
          <w:szCs w:val="24"/>
        </w:rPr>
        <w:t xml:space="preserve">и описание </w:t>
      </w:r>
      <w:r w:rsidR="00C81A0D" w:rsidRPr="00601AA3">
        <w:rPr>
          <w:rFonts w:ascii="Times New Roman" w:hAnsi="Times New Roman" w:cs="Times New Roman"/>
          <w:i/>
          <w:sz w:val="24"/>
          <w:szCs w:val="24"/>
        </w:rPr>
        <w:t>направлени</w:t>
      </w:r>
      <w:r w:rsidR="00BC7B8F" w:rsidRPr="00601AA3">
        <w:rPr>
          <w:rFonts w:ascii="Times New Roman" w:hAnsi="Times New Roman" w:cs="Times New Roman"/>
          <w:i/>
          <w:sz w:val="24"/>
          <w:szCs w:val="24"/>
        </w:rPr>
        <w:t>й необходимых изменений</w:t>
      </w:r>
      <w:r w:rsidRPr="00601AA3">
        <w:rPr>
          <w:rFonts w:ascii="Times New Roman" w:hAnsi="Times New Roman" w:cs="Times New Roman"/>
          <w:i/>
          <w:sz w:val="24"/>
          <w:szCs w:val="24"/>
        </w:rPr>
        <w:t>.</w:t>
      </w:r>
    </w:p>
    <w:p w:rsidR="007222B0" w:rsidRPr="00601AA3" w:rsidRDefault="007222B0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</w:p>
    <w:p w:rsidR="00584906" w:rsidRPr="00601AA3" w:rsidRDefault="000E0AA1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i/>
          <w:sz w:val="24"/>
          <w:szCs w:val="24"/>
        </w:rPr>
      </w:pPr>
      <w:r w:rsidRPr="00601AA3">
        <w:rPr>
          <w:rFonts w:ascii="Times New Roman" w:hAnsi="Times New Roman" w:cs="Times New Roman"/>
          <w:i/>
          <w:sz w:val="24"/>
          <w:szCs w:val="24"/>
        </w:rPr>
        <w:t>Консультативный д</w:t>
      </w:r>
      <w:r w:rsidR="00584906" w:rsidRPr="00601AA3">
        <w:rPr>
          <w:rFonts w:ascii="Times New Roman" w:hAnsi="Times New Roman" w:cs="Times New Roman"/>
          <w:i/>
          <w:sz w:val="24"/>
          <w:szCs w:val="24"/>
        </w:rPr>
        <w:t>оклад «Универсализация или специал</w:t>
      </w:r>
      <w:r w:rsidRPr="00601AA3">
        <w:rPr>
          <w:rFonts w:ascii="Times New Roman" w:hAnsi="Times New Roman" w:cs="Times New Roman"/>
          <w:i/>
          <w:sz w:val="24"/>
          <w:szCs w:val="24"/>
        </w:rPr>
        <w:t>изация? Роли участников на фондо</w:t>
      </w:r>
      <w:r w:rsidR="00584906" w:rsidRPr="00601AA3">
        <w:rPr>
          <w:rFonts w:ascii="Times New Roman" w:hAnsi="Times New Roman" w:cs="Times New Roman"/>
          <w:i/>
          <w:sz w:val="24"/>
          <w:szCs w:val="24"/>
        </w:rPr>
        <w:t xml:space="preserve">вом рынке» </w:t>
      </w:r>
    </w:p>
    <w:p w:rsidR="00584906" w:rsidRPr="00601AA3" w:rsidRDefault="00584906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i/>
          <w:sz w:val="24"/>
          <w:szCs w:val="24"/>
        </w:rPr>
      </w:pPr>
    </w:p>
    <w:p w:rsidR="00584906" w:rsidRPr="00601AA3" w:rsidRDefault="00584906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  <w:r w:rsidRPr="00601AA3">
        <w:rPr>
          <w:rFonts w:ascii="Times New Roman" w:hAnsi="Times New Roman" w:cs="Times New Roman"/>
          <w:sz w:val="24"/>
          <w:szCs w:val="24"/>
        </w:rPr>
        <w:t>В июле 2024 года НАУФОР направила в Банк России комментарии</w:t>
      </w:r>
      <w:r w:rsidRPr="00601AA3">
        <w:rPr>
          <w:rStyle w:val="ae"/>
          <w:rFonts w:ascii="Times New Roman" w:hAnsi="Times New Roman" w:cs="Times New Roman"/>
          <w:sz w:val="24"/>
          <w:szCs w:val="24"/>
        </w:rPr>
        <w:footnoteReference w:id="3"/>
      </w:r>
      <w:r w:rsidRPr="00601AA3">
        <w:rPr>
          <w:rFonts w:ascii="Times New Roman" w:hAnsi="Times New Roman" w:cs="Times New Roman"/>
          <w:sz w:val="24"/>
          <w:szCs w:val="24"/>
        </w:rPr>
        <w:t xml:space="preserve"> </w:t>
      </w:r>
      <w:r w:rsidR="00A77AB4" w:rsidRPr="00601AA3">
        <w:rPr>
          <w:rFonts w:ascii="Times New Roman" w:hAnsi="Times New Roman" w:cs="Times New Roman"/>
          <w:sz w:val="24"/>
          <w:szCs w:val="24"/>
        </w:rPr>
        <w:br/>
      </w:r>
      <w:r w:rsidRPr="00601AA3">
        <w:rPr>
          <w:rFonts w:ascii="Times New Roman" w:hAnsi="Times New Roman" w:cs="Times New Roman"/>
          <w:sz w:val="24"/>
          <w:szCs w:val="24"/>
        </w:rPr>
        <w:t xml:space="preserve">к </w:t>
      </w:r>
      <w:r w:rsidR="00A65A49" w:rsidRPr="00601AA3">
        <w:rPr>
          <w:rFonts w:ascii="Times New Roman" w:hAnsi="Times New Roman" w:cs="Times New Roman"/>
          <w:sz w:val="24"/>
          <w:szCs w:val="24"/>
        </w:rPr>
        <w:t xml:space="preserve">Консультационному </w:t>
      </w:r>
      <w:r w:rsidRPr="00601AA3">
        <w:rPr>
          <w:rFonts w:ascii="Times New Roman" w:hAnsi="Times New Roman" w:cs="Times New Roman"/>
          <w:sz w:val="24"/>
          <w:szCs w:val="24"/>
        </w:rPr>
        <w:t xml:space="preserve">докладу «Универсализация или специализация? Роли участников на фондовом рынке», посвященному архитектуре российского фондового рынка и возможному распределению ролей между инвестиционными финансовыми посредниками и инфраструктурными организациями на российском финансовом рынке. </w:t>
      </w:r>
      <w:r w:rsidR="007350A6" w:rsidRPr="00601AA3">
        <w:rPr>
          <w:rFonts w:ascii="Times New Roman" w:hAnsi="Times New Roman" w:cs="Times New Roman"/>
          <w:sz w:val="24"/>
          <w:szCs w:val="24"/>
        </w:rPr>
        <w:t xml:space="preserve">Это стало продолжением дискуссии, начавшейся в 2023 году. </w:t>
      </w:r>
      <w:r w:rsidRPr="00601AA3">
        <w:rPr>
          <w:rFonts w:ascii="Times New Roman" w:hAnsi="Times New Roman" w:cs="Times New Roman"/>
          <w:sz w:val="24"/>
          <w:szCs w:val="24"/>
        </w:rPr>
        <w:t xml:space="preserve">НАУФОР отметила, что сохранение специализации и ограничение «прямого доступа» инвесторов на биржу является предпочтительным направлением развития фондового рынка. Кроме того, НАУФОР обратила внимание регулятора, что интернализация и кросс-агентирование обеспечивают возможность совершения сделок по наилучшей </w:t>
      </w:r>
      <w:r w:rsidRPr="00601AA3">
        <w:rPr>
          <w:rFonts w:ascii="Times New Roman" w:hAnsi="Times New Roman" w:cs="Times New Roman"/>
          <w:sz w:val="24"/>
          <w:szCs w:val="24"/>
        </w:rPr>
        <w:lastRenderedPageBreak/>
        <w:t>возможной цене и в целом поддерживают здоровый баланс между биржевым и внебиржевым сегментами российского фондового рынка.</w:t>
      </w:r>
    </w:p>
    <w:p w:rsidR="0067695E" w:rsidRPr="00601AA3" w:rsidRDefault="0067695E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  <w:r w:rsidRPr="00601AA3">
        <w:rPr>
          <w:rFonts w:ascii="Times New Roman" w:hAnsi="Times New Roman" w:cs="Times New Roman"/>
          <w:sz w:val="24"/>
          <w:szCs w:val="24"/>
        </w:rPr>
        <w:t xml:space="preserve">Данный подход был поддержан Банком России. </w:t>
      </w:r>
    </w:p>
    <w:p w:rsidR="00584906" w:rsidRPr="00601AA3" w:rsidRDefault="00584906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</w:p>
    <w:p w:rsidR="00584906" w:rsidRPr="00601AA3" w:rsidRDefault="000E0AA1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i/>
          <w:sz w:val="24"/>
          <w:szCs w:val="24"/>
        </w:rPr>
      </w:pPr>
      <w:r w:rsidRPr="00601AA3">
        <w:rPr>
          <w:rFonts w:ascii="Times New Roman" w:hAnsi="Times New Roman" w:cs="Times New Roman"/>
          <w:i/>
          <w:sz w:val="24"/>
          <w:szCs w:val="24"/>
        </w:rPr>
        <w:t>Аналитический д</w:t>
      </w:r>
      <w:r w:rsidR="00584906" w:rsidRPr="00601AA3">
        <w:rPr>
          <w:rFonts w:ascii="Times New Roman" w:hAnsi="Times New Roman" w:cs="Times New Roman"/>
          <w:i/>
          <w:sz w:val="24"/>
          <w:szCs w:val="24"/>
        </w:rPr>
        <w:t>оклад «Стейблкойны: опыт использования и регулирования»</w:t>
      </w:r>
    </w:p>
    <w:p w:rsidR="00584906" w:rsidRPr="00601AA3" w:rsidRDefault="00584906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</w:p>
    <w:p w:rsidR="00584906" w:rsidRPr="00601AA3" w:rsidRDefault="00584906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  <w:r w:rsidRPr="00601AA3">
        <w:rPr>
          <w:rFonts w:ascii="Times New Roman" w:hAnsi="Times New Roman" w:cs="Times New Roman"/>
          <w:sz w:val="24"/>
          <w:szCs w:val="24"/>
        </w:rPr>
        <w:t>В августе 2024 года НАУФОР направила в Банк России комментарии</w:t>
      </w:r>
      <w:r w:rsidRPr="00601AA3">
        <w:rPr>
          <w:rStyle w:val="ae"/>
          <w:rFonts w:ascii="Times New Roman" w:hAnsi="Times New Roman" w:cs="Times New Roman"/>
          <w:sz w:val="24"/>
          <w:szCs w:val="24"/>
        </w:rPr>
        <w:footnoteReference w:id="4"/>
      </w:r>
      <w:r w:rsidRPr="00601AA3">
        <w:rPr>
          <w:rFonts w:ascii="Times New Roman" w:hAnsi="Times New Roman" w:cs="Times New Roman"/>
          <w:sz w:val="24"/>
          <w:szCs w:val="24"/>
        </w:rPr>
        <w:t xml:space="preserve"> к докладу «Стейблкойны: опыт использования и регулирования», в которых отметила, что рассматривает стейблкойны как один </w:t>
      </w:r>
      <w:r w:rsidR="007350A6" w:rsidRPr="00601AA3">
        <w:rPr>
          <w:rFonts w:ascii="Times New Roman" w:hAnsi="Times New Roman" w:cs="Times New Roman"/>
          <w:sz w:val="24"/>
          <w:szCs w:val="24"/>
        </w:rPr>
        <w:t xml:space="preserve">из </w:t>
      </w:r>
      <w:r w:rsidRPr="00601AA3">
        <w:rPr>
          <w:rFonts w:ascii="Times New Roman" w:hAnsi="Times New Roman" w:cs="Times New Roman"/>
          <w:sz w:val="24"/>
          <w:szCs w:val="24"/>
        </w:rPr>
        <w:t>видов цифровых финансовых активов (ЦФА), и видит потенциал использования стейблкойнов как финансового инструмента с учетом присущих им рисков. При регулировании ЦФА</w:t>
      </w:r>
      <w:r w:rsidR="00E01907" w:rsidRPr="00601AA3">
        <w:rPr>
          <w:rFonts w:ascii="Times New Roman" w:hAnsi="Times New Roman" w:cs="Times New Roman"/>
          <w:sz w:val="24"/>
          <w:szCs w:val="24"/>
        </w:rPr>
        <w:t>, по мнению НАУФОР,</w:t>
      </w:r>
      <w:r w:rsidRPr="00601AA3">
        <w:rPr>
          <w:rFonts w:ascii="Times New Roman" w:hAnsi="Times New Roman" w:cs="Times New Roman"/>
          <w:sz w:val="24"/>
          <w:szCs w:val="24"/>
        </w:rPr>
        <w:t xml:space="preserve"> следует руководствоваться общими подходами к регулированию рынка традиционных финансовых инструментов, содействующими обеспечению свободного перетока капиталов между рынком ЦФА и рынком традиционных финансовых инструментов.</w:t>
      </w:r>
    </w:p>
    <w:p w:rsidR="000E0AA1" w:rsidRPr="00601AA3" w:rsidRDefault="000E0AA1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</w:p>
    <w:p w:rsidR="00584906" w:rsidRPr="00601AA3" w:rsidRDefault="00755260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i/>
          <w:sz w:val="24"/>
          <w:szCs w:val="24"/>
        </w:rPr>
      </w:pPr>
      <w:r w:rsidRPr="00601AA3">
        <w:rPr>
          <w:rFonts w:ascii="Times New Roman" w:hAnsi="Times New Roman" w:cs="Times New Roman"/>
          <w:i/>
          <w:sz w:val="24"/>
          <w:szCs w:val="24"/>
        </w:rPr>
        <w:t xml:space="preserve">Справочно: </w:t>
      </w:r>
      <w:r w:rsidR="00A77AB4" w:rsidRPr="00601AA3">
        <w:rPr>
          <w:rFonts w:ascii="Times New Roman" w:hAnsi="Times New Roman" w:cs="Times New Roman"/>
          <w:i/>
          <w:sz w:val="24"/>
          <w:szCs w:val="24"/>
        </w:rPr>
        <w:t>в</w:t>
      </w:r>
      <w:r w:rsidRPr="00601AA3">
        <w:rPr>
          <w:rFonts w:ascii="Times New Roman" w:hAnsi="Times New Roman" w:cs="Times New Roman"/>
          <w:i/>
          <w:sz w:val="24"/>
          <w:szCs w:val="24"/>
        </w:rPr>
        <w:t xml:space="preserve"> январе 2025 года Банк России опубликовал </w:t>
      </w:r>
      <w:r w:rsidR="000E0AA1" w:rsidRPr="00601AA3">
        <w:rPr>
          <w:rFonts w:ascii="Times New Roman" w:hAnsi="Times New Roman" w:cs="Times New Roman"/>
          <w:i/>
          <w:sz w:val="24"/>
          <w:szCs w:val="24"/>
        </w:rPr>
        <w:t>Консультативный доклад «Информационная прозрачность на рынке ценных бумаг: эмитенты и условия первичного размещения их акций»</w:t>
      </w:r>
      <w:r w:rsidRPr="00601AA3">
        <w:rPr>
          <w:rFonts w:ascii="Times New Roman" w:hAnsi="Times New Roman" w:cs="Times New Roman"/>
          <w:i/>
          <w:sz w:val="24"/>
          <w:szCs w:val="24"/>
        </w:rPr>
        <w:t xml:space="preserve">. В </w:t>
      </w:r>
      <w:r w:rsidR="00584906" w:rsidRPr="00601AA3">
        <w:rPr>
          <w:rFonts w:ascii="Times New Roman" w:hAnsi="Times New Roman" w:cs="Times New Roman"/>
          <w:i/>
          <w:sz w:val="24"/>
          <w:szCs w:val="24"/>
        </w:rPr>
        <w:t xml:space="preserve">феврале </w:t>
      </w:r>
      <w:r w:rsidR="005300DF" w:rsidRPr="00601AA3">
        <w:rPr>
          <w:rFonts w:ascii="Times New Roman" w:hAnsi="Times New Roman" w:cs="Times New Roman"/>
          <w:i/>
          <w:sz w:val="24"/>
          <w:szCs w:val="24"/>
        </w:rPr>
        <w:t>НАУФОР</w:t>
      </w:r>
      <w:r w:rsidR="00584906" w:rsidRPr="00601AA3">
        <w:rPr>
          <w:rFonts w:ascii="Times New Roman" w:hAnsi="Times New Roman" w:cs="Times New Roman"/>
          <w:i/>
          <w:sz w:val="24"/>
          <w:szCs w:val="24"/>
        </w:rPr>
        <w:t xml:space="preserve"> направила свои комментарии</w:t>
      </w:r>
      <w:r w:rsidR="00584906" w:rsidRPr="00601AA3">
        <w:rPr>
          <w:rStyle w:val="ae"/>
          <w:rFonts w:ascii="Times New Roman" w:hAnsi="Times New Roman" w:cs="Times New Roman"/>
          <w:i/>
          <w:sz w:val="24"/>
          <w:szCs w:val="24"/>
        </w:rPr>
        <w:footnoteReference w:id="5"/>
      </w:r>
      <w:r w:rsidR="00584906" w:rsidRPr="00601AA3">
        <w:rPr>
          <w:rFonts w:ascii="Times New Roman" w:hAnsi="Times New Roman" w:cs="Times New Roman"/>
          <w:i/>
          <w:sz w:val="24"/>
          <w:szCs w:val="24"/>
        </w:rPr>
        <w:t xml:space="preserve">. НАУФОР поддержала предложения по повышению информационной открытости эмитентов, установлению рамочных требований к структуре годового отчета акционерного общества, а также об обязательном раскрытии эмитентом информации о фактическом распределении акций среди различных категорий инвесторов по итогам состоявшегося размещения и информации о механизмах стабилизации. НАУФОР не поддержала введение отдельного статуса «организатор размещения», как нового субъекта в законодательстве о рынке ценных бумаг, а также установление солидарной или субсидиарной ответственности организатора </w:t>
      </w:r>
      <w:r w:rsidR="00A77AB4" w:rsidRPr="00601AA3">
        <w:rPr>
          <w:rFonts w:ascii="Times New Roman" w:hAnsi="Times New Roman" w:cs="Times New Roman"/>
          <w:i/>
          <w:sz w:val="24"/>
          <w:szCs w:val="24"/>
        </w:rPr>
        <w:br/>
      </w:r>
      <w:r w:rsidR="00584906" w:rsidRPr="00601AA3">
        <w:rPr>
          <w:rFonts w:ascii="Times New Roman" w:hAnsi="Times New Roman" w:cs="Times New Roman"/>
          <w:i/>
          <w:sz w:val="24"/>
          <w:szCs w:val="24"/>
        </w:rPr>
        <w:t xml:space="preserve">за содержание проспекта. Ассоциация предложила </w:t>
      </w:r>
      <w:r w:rsidR="007350A6" w:rsidRPr="00601AA3">
        <w:rPr>
          <w:rFonts w:ascii="Times New Roman" w:hAnsi="Times New Roman" w:cs="Times New Roman"/>
          <w:i/>
          <w:sz w:val="24"/>
          <w:szCs w:val="24"/>
        </w:rPr>
        <w:t xml:space="preserve">сохранить </w:t>
      </w:r>
      <w:r w:rsidR="00584906" w:rsidRPr="00601AA3">
        <w:rPr>
          <w:rFonts w:ascii="Times New Roman" w:hAnsi="Times New Roman" w:cs="Times New Roman"/>
          <w:i/>
          <w:sz w:val="24"/>
          <w:szCs w:val="24"/>
        </w:rPr>
        <w:t>регулирова</w:t>
      </w:r>
      <w:r w:rsidR="007350A6" w:rsidRPr="00601AA3">
        <w:rPr>
          <w:rFonts w:ascii="Times New Roman" w:hAnsi="Times New Roman" w:cs="Times New Roman"/>
          <w:i/>
          <w:sz w:val="24"/>
          <w:szCs w:val="24"/>
        </w:rPr>
        <w:t>ние</w:t>
      </w:r>
      <w:r w:rsidR="00584906" w:rsidRPr="00601AA3">
        <w:rPr>
          <w:rFonts w:ascii="Times New Roman" w:hAnsi="Times New Roman" w:cs="Times New Roman"/>
          <w:i/>
          <w:sz w:val="24"/>
          <w:szCs w:val="24"/>
        </w:rPr>
        <w:t xml:space="preserve"> деятельност</w:t>
      </w:r>
      <w:r w:rsidR="007350A6" w:rsidRPr="00601AA3">
        <w:rPr>
          <w:rFonts w:ascii="Times New Roman" w:hAnsi="Times New Roman" w:cs="Times New Roman"/>
          <w:i/>
          <w:sz w:val="24"/>
          <w:szCs w:val="24"/>
        </w:rPr>
        <w:t>и</w:t>
      </w:r>
      <w:r w:rsidR="00584906" w:rsidRPr="00601AA3">
        <w:rPr>
          <w:rFonts w:ascii="Times New Roman" w:hAnsi="Times New Roman" w:cs="Times New Roman"/>
          <w:i/>
          <w:sz w:val="24"/>
          <w:szCs w:val="24"/>
        </w:rPr>
        <w:t xml:space="preserve"> организатора размещений, как брокерск</w:t>
      </w:r>
      <w:r w:rsidR="007350A6" w:rsidRPr="00601AA3">
        <w:rPr>
          <w:rFonts w:ascii="Times New Roman" w:hAnsi="Times New Roman" w:cs="Times New Roman"/>
          <w:i/>
          <w:sz w:val="24"/>
          <w:szCs w:val="24"/>
        </w:rPr>
        <w:t>ой</w:t>
      </w:r>
      <w:r w:rsidR="00584906" w:rsidRPr="00601AA3">
        <w:rPr>
          <w:rFonts w:ascii="Times New Roman" w:hAnsi="Times New Roman" w:cs="Times New Roman"/>
          <w:i/>
          <w:sz w:val="24"/>
          <w:szCs w:val="24"/>
        </w:rPr>
        <w:t xml:space="preserve"> деятельност</w:t>
      </w:r>
      <w:r w:rsidR="007350A6" w:rsidRPr="00601AA3">
        <w:rPr>
          <w:rFonts w:ascii="Times New Roman" w:hAnsi="Times New Roman" w:cs="Times New Roman"/>
          <w:i/>
          <w:sz w:val="24"/>
          <w:szCs w:val="24"/>
        </w:rPr>
        <w:t>и</w:t>
      </w:r>
      <w:r w:rsidR="00584906" w:rsidRPr="00601AA3">
        <w:rPr>
          <w:rFonts w:ascii="Times New Roman" w:hAnsi="Times New Roman" w:cs="Times New Roman"/>
          <w:i/>
          <w:sz w:val="24"/>
          <w:szCs w:val="24"/>
        </w:rPr>
        <w:t xml:space="preserve"> при исполнении поручений эмитента (акционеров) при публичном размещении (предложении) акций. Установление дополнительных правил оказания брокерами отдельных видов услуг эмитентам, связанных с организацией размещения акций, целесообразно</w:t>
      </w:r>
      <w:r w:rsidR="00BF064B" w:rsidRPr="00601AA3">
        <w:rPr>
          <w:rFonts w:ascii="Times New Roman" w:hAnsi="Times New Roman" w:cs="Times New Roman"/>
          <w:i/>
          <w:sz w:val="24"/>
          <w:szCs w:val="24"/>
        </w:rPr>
        <w:t>,</w:t>
      </w:r>
      <w:r w:rsidR="00584906" w:rsidRPr="00601A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50A6" w:rsidRPr="00601AA3">
        <w:rPr>
          <w:rFonts w:ascii="Times New Roman" w:hAnsi="Times New Roman" w:cs="Times New Roman"/>
          <w:i/>
          <w:sz w:val="24"/>
          <w:szCs w:val="24"/>
        </w:rPr>
        <w:t>по мнению НАУФОР</w:t>
      </w:r>
      <w:r w:rsidR="00BF064B" w:rsidRPr="00601AA3">
        <w:rPr>
          <w:rFonts w:ascii="Times New Roman" w:hAnsi="Times New Roman" w:cs="Times New Roman"/>
          <w:i/>
          <w:sz w:val="24"/>
          <w:szCs w:val="24"/>
        </w:rPr>
        <w:t>,</w:t>
      </w:r>
      <w:r w:rsidR="007350A6" w:rsidRPr="00601A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4906" w:rsidRPr="00601AA3">
        <w:rPr>
          <w:rFonts w:ascii="Times New Roman" w:hAnsi="Times New Roman" w:cs="Times New Roman"/>
          <w:i/>
          <w:sz w:val="24"/>
          <w:szCs w:val="24"/>
        </w:rPr>
        <w:t>на уровне нормативных актов и обязательных для соблюдения базовых, а также внутренних стандартов НАУФОР.</w:t>
      </w:r>
    </w:p>
    <w:p w:rsidR="002B2A89" w:rsidRPr="00601AA3" w:rsidRDefault="002B2A89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</w:p>
    <w:p w:rsidR="00584906" w:rsidRPr="00601AA3" w:rsidRDefault="000E0AA1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i/>
          <w:sz w:val="24"/>
          <w:szCs w:val="24"/>
        </w:rPr>
      </w:pPr>
      <w:r w:rsidRPr="00601AA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Обсуждение новых критериев </w:t>
      </w:r>
      <w:r w:rsidR="00BF064B" w:rsidRPr="00601AA3">
        <w:rPr>
          <w:rFonts w:ascii="Times New Roman" w:hAnsi="Times New Roman" w:cs="Times New Roman"/>
          <w:i/>
          <w:sz w:val="24"/>
          <w:szCs w:val="24"/>
        </w:rPr>
        <w:t xml:space="preserve">признания лиц </w:t>
      </w:r>
      <w:r w:rsidRPr="00601AA3">
        <w:rPr>
          <w:rFonts w:ascii="Times New Roman" w:hAnsi="Times New Roman" w:cs="Times New Roman"/>
          <w:i/>
          <w:sz w:val="24"/>
          <w:szCs w:val="24"/>
        </w:rPr>
        <w:t>квалифицированны</w:t>
      </w:r>
      <w:r w:rsidR="00BF064B" w:rsidRPr="00601AA3">
        <w:rPr>
          <w:rFonts w:ascii="Times New Roman" w:hAnsi="Times New Roman" w:cs="Times New Roman"/>
          <w:i/>
          <w:sz w:val="24"/>
          <w:szCs w:val="24"/>
        </w:rPr>
        <w:t>ми</w:t>
      </w:r>
      <w:r w:rsidRPr="00601AA3">
        <w:rPr>
          <w:rFonts w:ascii="Times New Roman" w:hAnsi="Times New Roman" w:cs="Times New Roman"/>
          <w:i/>
          <w:sz w:val="24"/>
          <w:szCs w:val="24"/>
        </w:rPr>
        <w:t xml:space="preserve"> инвестор</w:t>
      </w:r>
      <w:r w:rsidR="00BF064B" w:rsidRPr="00601AA3">
        <w:rPr>
          <w:rFonts w:ascii="Times New Roman" w:hAnsi="Times New Roman" w:cs="Times New Roman"/>
          <w:i/>
          <w:sz w:val="24"/>
          <w:szCs w:val="24"/>
        </w:rPr>
        <w:t>ами</w:t>
      </w:r>
      <w:r w:rsidRPr="00601AA3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:rsidR="000E0AA1" w:rsidRPr="00601AA3" w:rsidRDefault="000E0AA1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</w:p>
    <w:p w:rsidR="00B77560" w:rsidRPr="00601AA3" w:rsidRDefault="00DC614B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  <w:r w:rsidRPr="00601AA3">
        <w:rPr>
          <w:rFonts w:ascii="Times New Roman" w:hAnsi="Times New Roman" w:cs="Times New Roman"/>
          <w:sz w:val="24"/>
          <w:szCs w:val="24"/>
        </w:rPr>
        <w:t xml:space="preserve">В 2024 году НАУФОР </w:t>
      </w:r>
      <w:r w:rsidR="002202BC" w:rsidRPr="00601AA3">
        <w:rPr>
          <w:rFonts w:ascii="Times New Roman" w:hAnsi="Times New Roman" w:cs="Times New Roman"/>
          <w:sz w:val="24"/>
          <w:szCs w:val="24"/>
        </w:rPr>
        <w:t xml:space="preserve">обсуждала </w:t>
      </w:r>
      <w:r w:rsidRPr="00601AA3">
        <w:rPr>
          <w:rFonts w:ascii="Times New Roman" w:hAnsi="Times New Roman" w:cs="Times New Roman"/>
          <w:sz w:val="24"/>
          <w:szCs w:val="24"/>
        </w:rPr>
        <w:t>с Банком России запланированн</w:t>
      </w:r>
      <w:r w:rsidR="002202BC" w:rsidRPr="00601AA3">
        <w:rPr>
          <w:rFonts w:ascii="Times New Roman" w:hAnsi="Times New Roman" w:cs="Times New Roman"/>
          <w:sz w:val="24"/>
          <w:szCs w:val="24"/>
        </w:rPr>
        <w:t>ое</w:t>
      </w:r>
      <w:r w:rsidRPr="00601AA3">
        <w:rPr>
          <w:rFonts w:ascii="Times New Roman" w:hAnsi="Times New Roman" w:cs="Times New Roman"/>
          <w:sz w:val="24"/>
          <w:szCs w:val="24"/>
        </w:rPr>
        <w:t xml:space="preserve"> им повышени</w:t>
      </w:r>
      <w:r w:rsidR="002202BC" w:rsidRPr="00601AA3">
        <w:rPr>
          <w:rFonts w:ascii="Times New Roman" w:hAnsi="Times New Roman" w:cs="Times New Roman"/>
          <w:sz w:val="24"/>
          <w:szCs w:val="24"/>
        </w:rPr>
        <w:t>е</w:t>
      </w:r>
      <w:r w:rsidRPr="00601AA3">
        <w:rPr>
          <w:rFonts w:ascii="Times New Roman" w:hAnsi="Times New Roman" w:cs="Times New Roman"/>
          <w:sz w:val="24"/>
          <w:szCs w:val="24"/>
        </w:rPr>
        <w:t xml:space="preserve"> требований к квалифицированным инвесторам. После публикации Банком России проекта изменений в указание, устанавливающего количественные значения критериев для квалификации, НАУФОР направила регулятору письмо</w:t>
      </w:r>
      <w:r w:rsidR="001A15F4" w:rsidRPr="00601AA3">
        <w:rPr>
          <w:rStyle w:val="ae"/>
          <w:rFonts w:ascii="Times New Roman" w:hAnsi="Times New Roman" w:cs="Times New Roman"/>
          <w:sz w:val="24"/>
          <w:szCs w:val="24"/>
        </w:rPr>
        <w:footnoteReference w:id="6"/>
      </w:r>
      <w:r w:rsidR="00B83EE9" w:rsidRPr="00601AA3">
        <w:rPr>
          <w:rFonts w:ascii="Times New Roman" w:hAnsi="Times New Roman" w:cs="Times New Roman"/>
          <w:sz w:val="24"/>
          <w:szCs w:val="24"/>
        </w:rPr>
        <w:t xml:space="preserve"> в</w:t>
      </w:r>
      <w:r w:rsidRPr="00601AA3">
        <w:rPr>
          <w:rFonts w:ascii="Times New Roman" w:hAnsi="Times New Roman" w:cs="Times New Roman"/>
          <w:sz w:val="24"/>
          <w:szCs w:val="24"/>
        </w:rPr>
        <w:t xml:space="preserve"> котором </w:t>
      </w:r>
      <w:r w:rsidR="00A60A20" w:rsidRPr="00601AA3">
        <w:rPr>
          <w:rFonts w:ascii="Times New Roman" w:hAnsi="Times New Roman" w:cs="Times New Roman"/>
          <w:sz w:val="24"/>
          <w:szCs w:val="24"/>
        </w:rPr>
        <w:t>выступила против</w:t>
      </w:r>
      <w:r w:rsidR="001A15F4" w:rsidRPr="00601AA3">
        <w:rPr>
          <w:rFonts w:ascii="Times New Roman" w:hAnsi="Times New Roman" w:cs="Times New Roman"/>
          <w:sz w:val="24"/>
          <w:szCs w:val="24"/>
        </w:rPr>
        <w:t xml:space="preserve"> ужесточени</w:t>
      </w:r>
      <w:r w:rsidR="00A60A20" w:rsidRPr="00601AA3">
        <w:rPr>
          <w:rFonts w:ascii="Times New Roman" w:hAnsi="Times New Roman" w:cs="Times New Roman"/>
          <w:sz w:val="24"/>
          <w:szCs w:val="24"/>
        </w:rPr>
        <w:t>я</w:t>
      </w:r>
      <w:r w:rsidR="001A15F4" w:rsidRPr="00601AA3">
        <w:rPr>
          <w:rFonts w:ascii="Times New Roman" w:hAnsi="Times New Roman" w:cs="Times New Roman"/>
          <w:sz w:val="24"/>
          <w:szCs w:val="24"/>
        </w:rPr>
        <w:t xml:space="preserve"> имущественных требований для получения статуса квалифицированного инвестора с 6 млн руб</w:t>
      </w:r>
      <w:r w:rsidR="00A77AB4" w:rsidRPr="00601AA3">
        <w:rPr>
          <w:rFonts w:ascii="Times New Roman" w:hAnsi="Times New Roman" w:cs="Times New Roman"/>
          <w:sz w:val="24"/>
          <w:szCs w:val="24"/>
        </w:rPr>
        <w:t>.</w:t>
      </w:r>
      <w:r w:rsidR="001A15F4" w:rsidRPr="00601AA3">
        <w:rPr>
          <w:rFonts w:ascii="Times New Roman" w:hAnsi="Times New Roman" w:cs="Times New Roman"/>
          <w:sz w:val="24"/>
          <w:szCs w:val="24"/>
        </w:rPr>
        <w:t xml:space="preserve"> до 12 млн руб</w:t>
      </w:r>
      <w:r w:rsidR="00A77AB4" w:rsidRPr="00601AA3">
        <w:rPr>
          <w:rFonts w:ascii="Times New Roman" w:hAnsi="Times New Roman" w:cs="Times New Roman"/>
          <w:sz w:val="24"/>
          <w:szCs w:val="24"/>
        </w:rPr>
        <w:t>.</w:t>
      </w:r>
      <w:r w:rsidR="001A15F4" w:rsidRPr="00601AA3">
        <w:rPr>
          <w:rFonts w:ascii="Times New Roman" w:hAnsi="Times New Roman" w:cs="Times New Roman"/>
          <w:sz w:val="24"/>
          <w:szCs w:val="24"/>
        </w:rPr>
        <w:t>, начиная с 1 января 2025 года, и до 24 млн руб</w:t>
      </w:r>
      <w:r w:rsidR="00A77AB4" w:rsidRPr="00601AA3">
        <w:rPr>
          <w:rFonts w:ascii="Times New Roman" w:hAnsi="Times New Roman" w:cs="Times New Roman"/>
          <w:sz w:val="24"/>
          <w:szCs w:val="24"/>
        </w:rPr>
        <w:t>.</w:t>
      </w:r>
      <w:r w:rsidR="001A15F4" w:rsidRPr="00601AA3">
        <w:rPr>
          <w:rFonts w:ascii="Times New Roman" w:hAnsi="Times New Roman" w:cs="Times New Roman"/>
          <w:sz w:val="24"/>
          <w:szCs w:val="24"/>
        </w:rPr>
        <w:t>, начиная с 1 января 2026 года, отметив, что действующая модель разделения инвесторов на квалифицированных</w:t>
      </w:r>
      <w:r w:rsidR="00F2660C" w:rsidRPr="00601AA3">
        <w:rPr>
          <w:rFonts w:ascii="Times New Roman" w:hAnsi="Times New Roman" w:cs="Times New Roman"/>
          <w:sz w:val="24"/>
          <w:szCs w:val="24"/>
        </w:rPr>
        <w:t xml:space="preserve"> и неквалифицированных</w:t>
      </w:r>
      <w:r w:rsidR="001A15F4" w:rsidRPr="00601AA3">
        <w:rPr>
          <w:rFonts w:ascii="Times New Roman" w:hAnsi="Times New Roman" w:cs="Times New Roman"/>
          <w:sz w:val="24"/>
          <w:szCs w:val="24"/>
        </w:rPr>
        <w:t xml:space="preserve"> сбалансирована</w:t>
      </w:r>
      <w:r w:rsidR="00B00EA9" w:rsidRPr="00601AA3">
        <w:rPr>
          <w:rFonts w:ascii="Times New Roman" w:hAnsi="Times New Roman" w:cs="Times New Roman"/>
          <w:sz w:val="24"/>
          <w:szCs w:val="24"/>
        </w:rPr>
        <w:t xml:space="preserve"> и </w:t>
      </w:r>
      <w:r w:rsidR="001A15F4" w:rsidRPr="00601AA3">
        <w:rPr>
          <w:rFonts w:ascii="Times New Roman" w:hAnsi="Times New Roman" w:cs="Times New Roman"/>
          <w:sz w:val="24"/>
          <w:szCs w:val="24"/>
        </w:rPr>
        <w:t xml:space="preserve">адекватна текущему уровню благосостояния </w:t>
      </w:r>
      <w:r w:rsidR="00447A9A" w:rsidRPr="00601AA3">
        <w:rPr>
          <w:rFonts w:ascii="Times New Roman" w:hAnsi="Times New Roman" w:cs="Times New Roman"/>
          <w:sz w:val="24"/>
          <w:szCs w:val="24"/>
        </w:rPr>
        <w:t>граждан</w:t>
      </w:r>
      <w:r w:rsidR="001A15F4" w:rsidRPr="00601AA3">
        <w:rPr>
          <w:rFonts w:ascii="Times New Roman" w:hAnsi="Times New Roman" w:cs="Times New Roman"/>
          <w:sz w:val="24"/>
          <w:szCs w:val="24"/>
        </w:rPr>
        <w:t xml:space="preserve">, а </w:t>
      </w:r>
      <w:r w:rsidR="00B00EA9" w:rsidRPr="00601AA3">
        <w:rPr>
          <w:rFonts w:ascii="Times New Roman" w:hAnsi="Times New Roman" w:cs="Times New Roman"/>
          <w:sz w:val="24"/>
          <w:szCs w:val="24"/>
        </w:rPr>
        <w:t xml:space="preserve">сам процесс присвоения индустрией статуса квалифицированного инвестора своим клиентам </w:t>
      </w:r>
      <w:r w:rsidR="00951AF2" w:rsidRPr="00601AA3">
        <w:rPr>
          <w:rFonts w:ascii="Times New Roman" w:hAnsi="Times New Roman" w:cs="Times New Roman"/>
          <w:sz w:val="24"/>
          <w:szCs w:val="24"/>
        </w:rPr>
        <w:t>характеризуется как добросовестный</w:t>
      </w:r>
      <w:r w:rsidR="00B00EA9" w:rsidRPr="00601AA3">
        <w:rPr>
          <w:rFonts w:ascii="Times New Roman" w:hAnsi="Times New Roman" w:cs="Times New Roman"/>
          <w:sz w:val="24"/>
          <w:szCs w:val="24"/>
        </w:rPr>
        <w:t>.</w:t>
      </w:r>
      <w:r w:rsidR="007350A6" w:rsidRPr="00601AA3">
        <w:rPr>
          <w:rFonts w:ascii="Times New Roman" w:hAnsi="Times New Roman" w:cs="Times New Roman"/>
          <w:sz w:val="24"/>
          <w:szCs w:val="24"/>
        </w:rPr>
        <w:t xml:space="preserve"> Тем не менее, Банк России не согласился </w:t>
      </w:r>
      <w:r w:rsidR="00A77AB4" w:rsidRPr="00601AA3">
        <w:rPr>
          <w:rFonts w:ascii="Times New Roman" w:hAnsi="Times New Roman" w:cs="Times New Roman"/>
          <w:sz w:val="24"/>
          <w:szCs w:val="24"/>
        </w:rPr>
        <w:br/>
      </w:r>
      <w:r w:rsidR="007350A6" w:rsidRPr="00601AA3">
        <w:rPr>
          <w:rFonts w:ascii="Times New Roman" w:hAnsi="Times New Roman" w:cs="Times New Roman"/>
          <w:sz w:val="24"/>
          <w:szCs w:val="24"/>
        </w:rPr>
        <w:t xml:space="preserve">с НАУФОР и сохранил выбранный подход.  </w:t>
      </w:r>
    </w:p>
    <w:p w:rsidR="00C5519C" w:rsidRPr="00601AA3" w:rsidRDefault="00452741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  <w:r w:rsidRPr="00601AA3">
        <w:rPr>
          <w:rFonts w:ascii="Times New Roman" w:hAnsi="Times New Roman" w:cs="Times New Roman"/>
          <w:sz w:val="24"/>
          <w:szCs w:val="24"/>
        </w:rPr>
        <w:t xml:space="preserve">В 2024 года были приняты изменения в Федеральный закон «О рынке ценных бумаг», </w:t>
      </w:r>
      <w:r w:rsidR="00355119" w:rsidRPr="00601AA3">
        <w:rPr>
          <w:rFonts w:ascii="Times New Roman" w:hAnsi="Times New Roman" w:cs="Times New Roman"/>
          <w:sz w:val="24"/>
          <w:szCs w:val="24"/>
        </w:rPr>
        <w:t>предоставляющие возможность получения статуса квалифицированного инвестора на основании комбинаци</w:t>
      </w:r>
      <w:r w:rsidR="009763C2" w:rsidRPr="00601AA3">
        <w:rPr>
          <w:rFonts w:ascii="Times New Roman" w:hAnsi="Times New Roman" w:cs="Times New Roman"/>
          <w:sz w:val="24"/>
          <w:szCs w:val="24"/>
        </w:rPr>
        <w:t>и</w:t>
      </w:r>
      <w:r w:rsidR="00355119" w:rsidRPr="00601AA3">
        <w:rPr>
          <w:rFonts w:ascii="Times New Roman" w:hAnsi="Times New Roman" w:cs="Times New Roman"/>
          <w:sz w:val="24"/>
          <w:szCs w:val="24"/>
        </w:rPr>
        <w:t xml:space="preserve"> критери</w:t>
      </w:r>
      <w:r w:rsidR="00A0324D" w:rsidRPr="00601AA3">
        <w:rPr>
          <w:rFonts w:ascii="Times New Roman" w:hAnsi="Times New Roman" w:cs="Times New Roman"/>
          <w:sz w:val="24"/>
          <w:szCs w:val="24"/>
        </w:rPr>
        <w:t>ев.</w:t>
      </w:r>
      <w:r w:rsidR="00355119" w:rsidRPr="00601AA3">
        <w:rPr>
          <w:rFonts w:ascii="Times New Roman" w:hAnsi="Times New Roman" w:cs="Times New Roman"/>
          <w:sz w:val="24"/>
          <w:szCs w:val="24"/>
        </w:rPr>
        <w:t xml:space="preserve"> </w:t>
      </w:r>
      <w:r w:rsidR="007350A6" w:rsidRPr="00601AA3">
        <w:rPr>
          <w:rFonts w:ascii="Times New Roman" w:hAnsi="Times New Roman" w:cs="Times New Roman"/>
          <w:sz w:val="24"/>
          <w:szCs w:val="24"/>
        </w:rPr>
        <w:t xml:space="preserve">Этот закон отражает целый ряд предложений, сделанных НАУФОР при его разработке, в том числе </w:t>
      </w:r>
      <w:r w:rsidR="00DC614B" w:rsidRPr="00601AA3">
        <w:rPr>
          <w:rFonts w:ascii="Times New Roman" w:hAnsi="Times New Roman" w:cs="Times New Roman"/>
          <w:sz w:val="24"/>
          <w:szCs w:val="24"/>
        </w:rPr>
        <w:t>появление новых критериев, таких как годово</w:t>
      </w:r>
      <w:r w:rsidR="002202BC" w:rsidRPr="00601AA3">
        <w:rPr>
          <w:rFonts w:ascii="Times New Roman" w:hAnsi="Times New Roman" w:cs="Times New Roman"/>
          <w:sz w:val="24"/>
          <w:szCs w:val="24"/>
        </w:rPr>
        <w:t>й</w:t>
      </w:r>
      <w:r w:rsidR="00DC614B" w:rsidRPr="00601AA3">
        <w:rPr>
          <w:rFonts w:ascii="Times New Roman" w:hAnsi="Times New Roman" w:cs="Times New Roman"/>
          <w:sz w:val="24"/>
          <w:szCs w:val="24"/>
        </w:rPr>
        <w:t xml:space="preserve"> доход, </w:t>
      </w:r>
      <w:r w:rsidR="000C479B" w:rsidRPr="00601AA3">
        <w:rPr>
          <w:rFonts w:ascii="Times New Roman" w:hAnsi="Times New Roman" w:cs="Times New Roman"/>
          <w:sz w:val="24"/>
          <w:szCs w:val="24"/>
        </w:rPr>
        <w:t>возможность расширения перечня приемлемого для целей квалификации о</w:t>
      </w:r>
      <w:r w:rsidR="00BA77B4" w:rsidRPr="00601AA3">
        <w:rPr>
          <w:rFonts w:ascii="Times New Roman" w:hAnsi="Times New Roman" w:cs="Times New Roman"/>
          <w:sz w:val="24"/>
          <w:szCs w:val="24"/>
        </w:rPr>
        <w:t>б</w:t>
      </w:r>
      <w:r w:rsidR="000C479B" w:rsidRPr="00601AA3">
        <w:rPr>
          <w:rFonts w:ascii="Times New Roman" w:hAnsi="Times New Roman" w:cs="Times New Roman"/>
          <w:sz w:val="24"/>
          <w:szCs w:val="24"/>
        </w:rPr>
        <w:t>разования,</w:t>
      </w:r>
      <w:r w:rsidR="00DC614B" w:rsidRPr="00601AA3">
        <w:rPr>
          <w:rFonts w:ascii="Times New Roman" w:hAnsi="Times New Roman" w:cs="Times New Roman"/>
          <w:sz w:val="24"/>
          <w:szCs w:val="24"/>
        </w:rPr>
        <w:t xml:space="preserve"> </w:t>
      </w:r>
      <w:r w:rsidR="007350A6" w:rsidRPr="00601AA3">
        <w:rPr>
          <w:rFonts w:ascii="Times New Roman" w:hAnsi="Times New Roman" w:cs="Times New Roman"/>
          <w:sz w:val="24"/>
          <w:szCs w:val="24"/>
        </w:rPr>
        <w:t xml:space="preserve">а также возможность комбинации имущественного критерия с оценкой знаний инвестора. </w:t>
      </w:r>
      <w:r w:rsidR="002202BC" w:rsidRPr="00601AA3">
        <w:rPr>
          <w:rFonts w:ascii="Times New Roman" w:hAnsi="Times New Roman" w:cs="Times New Roman"/>
          <w:sz w:val="24"/>
          <w:szCs w:val="24"/>
        </w:rPr>
        <w:t>Кроме того, по предложению НАУФОР закон расширил круг доступных неквалифицированны</w:t>
      </w:r>
      <w:r w:rsidR="00391CED" w:rsidRPr="00601AA3">
        <w:rPr>
          <w:rFonts w:ascii="Times New Roman" w:hAnsi="Times New Roman" w:cs="Times New Roman"/>
          <w:sz w:val="24"/>
          <w:szCs w:val="24"/>
        </w:rPr>
        <w:t>м</w:t>
      </w:r>
      <w:r w:rsidR="002202BC" w:rsidRPr="00601AA3">
        <w:rPr>
          <w:rFonts w:ascii="Times New Roman" w:hAnsi="Times New Roman" w:cs="Times New Roman"/>
          <w:sz w:val="24"/>
          <w:szCs w:val="24"/>
        </w:rPr>
        <w:t xml:space="preserve"> инвестор</w:t>
      </w:r>
      <w:r w:rsidR="00391CED" w:rsidRPr="00601AA3">
        <w:rPr>
          <w:rFonts w:ascii="Times New Roman" w:hAnsi="Times New Roman" w:cs="Times New Roman"/>
          <w:sz w:val="24"/>
          <w:szCs w:val="24"/>
        </w:rPr>
        <w:t>ам облигаций со структурным доходом</w:t>
      </w:r>
      <w:r w:rsidR="00671A77" w:rsidRPr="00601AA3">
        <w:rPr>
          <w:rFonts w:ascii="Times New Roman" w:hAnsi="Times New Roman" w:cs="Times New Roman"/>
          <w:sz w:val="24"/>
          <w:szCs w:val="24"/>
        </w:rPr>
        <w:t xml:space="preserve"> за счет расширения перечня приемлемых базовых активов и моделей зависимости дополнительного дохода от движения базового актива.</w:t>
      </w:r>
      <w:r w:rsidR="002202BC" w:rsidRPr="00601AA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A0FF4" w:rsidRPr="00601AA3" w:rsidRDefault="002A0FF4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</w:p>
    <w:p w:rsidR="009F6AF5" w:rsidRPr="00601AA3" w:rsidRDefault="002A0FF4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i/>
          <w:sz w:val="24"/>
          <w:szCs w:val="24"/>
        </w:rPr>
      </w:pPr>
      <w:r w:rsidRPr="00601AA3">
        <w:rPr>
          <w:rFonts w:ascii="Times New Roman" w:hAnsi="Times New Roman" w:cs="Times New Roman"/>
          <w:i/>
          <w:sz w:val="24"/>
          <w:szCs w:val="24"/>
        </w:rPr>
        <w:t xml:space="preserve">Справочно: </w:t>
      </w:r>
      <w:r w:rsidR="00A77AB4" w:rsidRPr="00601AA3">
        <w:rPr>
          <w:rFonts w:ascii="Times New Roman" w:hAnsi="Times New Roman" w:cs="Times New Roman"/>
          <w:i/>
          <w:sz w:val="24"/>
          <w:szCs w:val="24"/>
        </w:rPr>
        <w:t>в</w:t>
      </w:r>
      <w:r w:rsidR="00D42004" w:rsidRPr="00601A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519C" w:rsidRPr="00601AA3">
        <w:rPr>
          <w:rFonts w:ascii="Times New Roman" w:hAnsi="Times New Roman" w:cs="Times New Roman"/>
          <w:i/>
          <w:sz w:val="24"/>
          <w:szCs w:val="24"/>
        </w:rPr>
        <w:t xml:space="preserve">процессе </w:t>
      </w:r>
      <w:r w:rsidR="00D42004" w:rsidRPr="00601AA3">
        <w:rPr>
          <w:rFonts w:ascii="Times New Roman" w:hAnsi="Times New Roman" w:cs="Times New Roman"/>
          <w:i/>
          <w:sz w:val="24"/>
          <w:szCs w:val="24"/>
        </w:rPr>
        <w:t xml:space="preserve">обсуждения </w:t>
      </w:r>
      <w:r w:rsidRPr="00601AA3">
        <w:rPr>
          <w:rFonts w:ascii="Times New Roman" w:hAnsi="Times New Roman" w:cs="Times New Roman"/>
          <w:i/>
          <w:sz w:val="24"/>
          <w:szCs w:val="24"/>
        </w:rPr>
        <w:t xml:space="preserve">в начале 2025 года </w:t>
      </w:r>
      <w:r w:rsidR="00D42004" w:rsidRPr="00601AA3">
        <w:rPr>
          <w:rFonts w:ascii="Times New Roman" w:hAnsi="Times New Roman" w:cs="Times New Roman"/>
          <w:i/>
          <w:sz w:val="24"/>
          <w:szCs w:val="24"/>
        </w:rPr>
        <w:t xml:space="preserve">проекта нормативного акта Банка России, которым конкретизируются установленные федеральным законодательством </w:t>
      </w:r>
      <w:r w:rsidR="00E74190" w:rsidRPr="00601AA3">
        <w:rPr>
          <w:rFonts w:ascii="Times New Roman" w:hAnsi="Times New Roman" w:cs="Times New Roman"/>
          <w:i/>
          <w:sz w:val="24"/>
          <w:szCs w:val="24"/>
        </w:rPr>
        <w:t xml:space="preserve">критерии </w:t>
      </w:r>
      <w:r w:rsidR="00D42004" w:rsidRPr="00601AA3">
        <w:rPr>
          <w:rFonts w:ascii="Times New Roman" w:hAnsi="Times New Roman" w:cs="Times New Roman"/>
          <w:i/>
          <w:sz w:val="24"/>
          <w:szCs w:val="24"/>
        </w:rPr>
        <w:t xml:space="preserve">квалифицированного инвестора, НАУФОР </w:t>
      </w:r>
      <w:r w:rsidR="00A77AB4" w:rsidRPr="00601AA3">
        <w:rPr>
          <w:rFonts w:ascii="Times New Roman" w:hAnsi="Times New Roman" w:cs="Times New Roman"/>
          <w:i/>
          <w:sz w:val="24"/>
          <w:szCs w:val="24"/>
        </w:rPr>
        <w:br/>
      </w:r>
      <w:r w:rsidR="00D42004" w:rsidRPr="00601AA3">
        <w:rPr>
          <w:rFonts w:ascii="Times New Roman" w:hAnsi="Times New Roman" w:cs="Times New Roman"/>
          <w:i/>
          <w:sz w:val="24"/>
          <w:szCs w:val="24"/>
        </w:rPr>
        <w:t>не поддержала</w:t>
      </w:r>
      <w:r w:rsidR="00D42004" w:rsidRPr="00601AA3">
        <w:rPr>
          <w:rStyle w:val="ae"/>
          <w:rFonts w:ascii="Times New Roman" w:hAnsi="Times New Roman" w:cs="Times New Roman"/>
          <w:i/>
          <w:sz w:val="24"/>
          <w:szCs w:val="24"/>
        </w:rPr>
        <w:footnoteReference w:id="7"/>
      </w:r>
      <w:r w:rsidR="00D42004" w:rsidRPr="00601AA3">
        <w:rPr>
          <w:rFonts w:ascii="Times New Roman" w:hAnsi="Times New Roman" w:cs="Times New Roman"/>
          <w:i/>
          <w:sz w:val="24"/>
          <w:szCs w:val="24"/>
        </w:rPr>
        <w:t xml:space="preserve"> предложенно</w:t>
      </w:r>
      <w:r w:rsidR="0009045C" w:rsidRPr="00601AA3">
        <w:rPr>
          <w:rFonts w:ascii="Times New Roman" w:hAnsi="Times New Roman" w:cs="Times New Roman"/>
          <w:i/>
          <w:sz w:val="24"/>
          <w:szCs w:val="24"/>
        </w:rPr>
        <w:t>е</w:t>
      </w:r>
      <w:r w:rsidR="00D42004" w:rsidRPr="00601AA3">
        <w:rPr>
          <w:rFonts w:ascii="Times New Roman" w:hAnsi="Times New Roman" w:cs="Times New Roman"/>
          <w:i/>
          <w:sz w:val="24"/>
          <w:szCs w:val="24"/>
        </w:rPr>
        <w:t xml:space="preserve"> регулятором увеличени</w:t>
      </w:r>
      <w:r w:rsidR="0009045C" w:rsidRPr="00601AA3">
        <w:rPr>
          <w:rFonts w:ascii="Times New Roman" w:hAnsi="Times New Roman" w:cs="Times New Roman"/>
          <w:i/>
          <w:sz w:val="24"/>
          <w:szCs w:val="24"/>
        </w:rPr>
        <w:t>е</w:t>
      </w:r>
      <w:r w:rsidR="00D42004" w:rsidRPr="00601AA3">
        <w:rPr>
          <w:rFonts w:ascii="Times New Roman" w:hAnsi="Times New Roman" w:cs="Times New Roman"/>
          <w:i/>
          <w:sz w:val="24"/>
          <w:szCs w:val="24"/>
        </w:rPr>
        <w:t xml:space="preserve"> имущественного критерия </w:t>
      </w:r>
      <w:r w:rsidR="00A77AB4" w:rsidRPr="00601AA3">
        <w:rPr>
          <w:rFonts w:ascii="Times New Roman" w:hAnsi="Times New Roman" w:cs="Times New Roman"/>
          <w:i/>
          <w:sz w:val="24"/>
          <w:szCs w:val="24"/>
        </w:rPr>
        <w:br/>
      </w:r>
      <w:r w:rsidR="00D42004" w:rsidRPr="00601AA3">
        <w:rPr>
          <w:rFonts w:ascii="Times New Roman" w:hAnsi="Times New Roman" w:cs="Times New Roman"/>
          <w:i/>
          <w:sz w:val="24"/>
          <w:szCs w:val="24"/>
        </w:rPr>
        <w:t>в случае его комбин</w:t>
      </w:r>
      <w:r w:rsidR="002B2A89" w:rsidRPr="00601AA3">
        <w:rPr>
          <w:rFonts w:ascii="Times New Roman" w:hAnsi="Times New Roman" w:cs="Times New Roman"/>
          <w:i/>
          <w:sz w:val="24"/>
          <w:szCs w:val="24"/>
        </w:rPr>
        <w:t xml:space="preserve">ации </w:t>
      </w:r>
      <w:r w:rsidR="00D42004" w:rsidRPr="00601AA3">
        <w:rPr>
          <w:rFonts w:ascii="Times New Roman" w:hAnsi="Times New Roman" w:cs="Times New Roman"/>
          <w:i/>
          <w:sz w:val="24"/>
          <w:szCs w:val="24"/>
        </w:rPr>
        <w:t>с образовательным критерием, предложила существенно уменьшить предложенный размер ежегодного дохода инвестора, необходимый для признания его квалифицированным инвестором</w:t>
      </w:r>
      <w:r w:rsidR="00171629" w:rsidRPr="00601AA3">
        <w:rPr>
          <w:rFonts w:ascii="Times New Roman" w:hAnsi="Times New Roman" w:cs="Times New Roman"/>
          <w:i/>
          <w:sz w:val="24"/>
          <w:szCs w:val="24"/>
        </w:rPr>
        <w:t xml:space="preserve">, а также расширить </w:t>
      </w:r>
      <w:r w:rsidR="00D42004" w:rsidRPr="00601AA3">
        <w:rPr>
          <w:rFonts w:ascii="Times New Roman" w:hAnsi="Times New Roman" w:cs="Times New Roman"/>
          <w:i/>
          <w:sz w:val="24"/>
          <w:szCs w:val="24"/>
        </w:rPr>
        <w:t>перечен</w:t>
      </w:r>
      <w:r w:rsidR="00171629" w:rsidRPr="00601AA3">
        <w:rPr>
          <w:rFonts w:ascii="Times New Roman" w:hAnsi="Times New Roman" w:cs="Times New Roman"/>
          <w:i/>
          <w:sz w:val="24"/>
          <w:szCs w:val="24"/>
        </w:rPr>
        <w:t>ь</w:t>
      </w:r>
      <w:r w:rsidR="00D42004" w:rsidRPr="00601AA3">
        <w:rPr>
          <w:rFonts w:ascii="Times New Roman" w:hAnsi="Times New Roman" w:cs="Times New Roman"/>
          <w:i/>
          <w:sz w:val="24"/>
          <w:szCs w:val="24"/>
        </w:rPr>
        <w:t xml:space="preserve"> финансовых инструментов, в отношении которых возможно учитывать знани</w:t>
      </w:r>
      <w:r w:rsidR="00171629" w:rsidRPr="00601AA3">
        <w:rPr>
          <w:rFonts w:ascii="Times New Roman" w:hAnsi="Times New Roman" w:cs="Times New Roman"/>
          <w:i/>
          <w:sz w:val="24"/>
          <w:szCs w:val="24"/>
        </w:rPr>
        <w:t xml:space="preserve">я </w:t>
      </w:r>
      <w:r w:rsidR="00BA77B4" w:rsidRPr="00601AA3">
        <w:rPr>
          <w:rFonts w:ascii="Times New Roman" w:hAnsi="Times New Roman" w:cs="Times New Roman"/>
          <w:i/>
          <w:sz w:val="24"/>
          <w:szCs w:val="24"/>
        </w:rPr>
        <w:t>путем проведения специального тестирования</w:t>
      </w:r>
      <w:r w:rsidR="00D42004" w:rsidRPr="00601AA3">
        <w:rPr>
          <w:rFonts w:ascii="Times New Roman" w:hAnsi="Times New Roman" w:cs="Times New Roman"/>
          <w:i/>
          <w:sz w:val="24"/>
          <w:szCs w:val="24"/>
        </w:rPr>
        <w:t>.</w:t>
      </w:r>
    </w:p>
    <w:p w:rsidR="000E0AA1" w:rsidRPr="00601AA3" w:rsidRDefault="000E0AA1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</w:p>
    <w:p w:rsidR="000E0AA1" w:rsidRPr="00601AA3" w:rsidRDefault="000E0AA1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i/>
          <w:sz w:val="24"/>
          <w:szCs w:val="24"/>
        </w:rPr>
      </w:pPr>
      <w:r w:rsidRPr="00601AA3">
        <w:rPr>
          <w:rFonts w:ascii="Times New Roman" w:hAnsi="Times New Roman" w:cs="Times New Roman"/>
          <w:i/>
          <w:sz w:val="24"/>
          <w:szCs w:val="24"/>
        </w:rPr>
        <w:t xml:space="preserve">Фонд </w:t>
      </w:r>
      <w:r w:rsidR="00BF064B" w:rsidRPr="00601AA3">
        <w:rPr>
          <w:rFonts w:ascii="Times New Roman" w:hAnsi="Times New Roman" w:cs="Times New Roman"/>
          <w:i/>
          <w:sz w:val="24"/>
          <w:szCs w:val="24"/>
        </w:rPr>
        <w:t>возмещения стоимости</w:t>
      </w:r>
      <w:r w:rsidR="00BA77B4" w:rsidRPr="00601AA3">
        <w:rPr>
          <w:rFonts w:ascii="Times New Roman" w:hAnsi="Times New Roman" w:cs="Times New Roman"/>
          <w:i/>
          <w:sz w:val="24"/>
          <w:szCs w:val="24"/>
        </w:rPr>
        <w:t xml:space="preserve"> имущества, учитываемого на</w:t>
      </w:r>
      <w:r w:rsidRPr="00601AA3">
        <w:rPr>
          <w:rFonts w:ascii="Times New Roman" w:hAnsi="Times New Roman" w:cs="Times New Roman"/>
          <w:i/>
          <w:sz w:val="24"/>
          <w:szCs w:val="24"/>
        </w:rPr>
        <w:t xml:space="preserve"> ИИС</w:t>
      </w:r>
    </w:p>
    <w:p w:rsidR="000E0AA1" w:rsidRPr="00601AA3" w:rsidRDefault="000E0AA1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</w:p>
    <w:p w:rsidR="000E0AA1" w:rsidRPr="00601AA3" w:rsidRDefault="000E0AA1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  <w:r w:rsidRPr="00601AA3">
        <w:rPr>
          <w:rFonts w:ascii="Times New Roman" w:hAnsi="Times New Roman" w:cs="Times New Roman"/>
          <w:sz w:val="24"/>
          <w:szCs w:val="24"/>
        </w:rPr>
        <w:t xml:space="preserve">В течение 2024 </w:t>
      </w:r>
      <w:r w:rsidR="00BF064B" w:rsidRPr="00601AA3">
        <w:rPr>
          <w:rFonts w:ascii="Times New Roman" w:hAnsi="Times New Roman" w:cs="Times New Roman"/>
          <w:sz w:val="24"/>
          <w:szCs w:val="24"/>
        </w:rPr>
        <w:t>г</w:t>
      </w:r>
      <w:r w:rsidR="00BA77B4" w:rsidRPr="00601AA3">
        <w:rPr>
          <w:rFonts w:ascii="Times New Roman" w:hAnsi="Times New Roman" w:cs="Times New Roman"/>
          <w:sz w:val="24"/>
          <w:szCs w:val="24"/>
        </w:rPr>
        <w:t>ода Н</w:t>
      </w:r>
      <w:r w:rsidRPr="00601AA3">
        <w:rPr>
          <w:rFonts w:ascii="Times New Roman" w:hAnsi="Times New Roman" w:cs="Times New Roman"/>
          <w:sz w:val="24"/>
          <w:szCs w:val="24"/>
        </w:rPr>
        <w:t>АУФОР принимал</w:t>
      </w:r>
      <w:r w:rsidR="00BA77B4" w:rsidRPr="00601AA3">
        <w:rPr>
          <w:rFonts w:ascii="Times New Roman" w:hAnsi="Times New Roman" w:cs="Times New Roman"/>
          <w:sz w:val="24"/>
          <w:szCs w:val="24"/>
        </w:rPr>
        <w:t>а</w:t>
      </w:r>
      <w:r w:rsidRPr="00601AA3">
        <w:rPr>
          <w:rFonts w:ascii="Times New Roman" w:hAnsi="Times New Roman" w:cs="Times New Roman"/>
          <w:sz w:val="24"/>
          <w:szCs w:val="24"/>
        </w:rPr>
        <w:t xml:space="preserve"> участие в обсуждении проекта Федерального закона, предусматривающего </w:t>
      </w:r>
      <w:r w:rsidR="00BF064B" w:rsidRPr="00601AA3">
        <w:rPr>
          <w:rFonts w:ascii="Times New Roman" w:hAnsi="Times New Roman" w:cs="Times New Roman"/>
          <w:sz w:val="24"/>
          <w:szCs w:val="24"/>
        </w:rPr>
        <w:t>введение</w:t>
      </w:r>
      <w:r w:rsidRPr="00601AA3">
        <w:rPr>
          <w:rFonts w:ascii="Times New Roman" w:hAnsi="Times New Roman" w:cs="Times New Roman"/>
          <w:sz w:val="24"/>
          <w:szCs w:val="24"/>
        </w:rPr>
        <w:t xml:space="preserve"> механизма </w:t>
      </w:r>
      <w:r w:rsidR="00BA77B4" w:rsidRPr="00601AA3">
        <w:rPr>
          <w:rFonts w:ascii="Times New Roman" w:hAnsi="Times New Roman" w:cs="Times New Roman"/>
          <w:sz w:val="24"/>
          <w:szCs w:val="24"/>
        </w:rPr>
        <w:t>возмещения</w:t>
      </w:r>
      <w:r w:rsidRPr="00601AA3">
        <w:rPr>
          <w:rFonts w:ascii="Times New Roman" w:hAnsi="Times New Roman" w:cs="Times New Roman"/>
          <w:sz w:val="24"/>
          <w:szCs w:val="24"/>
        </w:rPr>
        <w:t xml:space="preserve"> стоимости имущества</w:t>
      </w:r>
      <w:r w:rsidR="00BA77B4" w:rsidRPr="00601AA3">
        <w:rPr>
          <w:rFonts w:ascii="Times New Roman" w:hAnsi="Times New Roman" w:cs="Times New Roman"/>
          <w:sz w:val="24"/>
          <w:szCs w:val="24"/>
        </w:rPr>
        <w:t>, учитываемого</w:t>
      </w:r>
      <w:r w:rsidRPr="00601AA3">
        <w:rPr>
          <w:rFonts w:ascii="Times New Roman" w:hAnsi="Times New Roman" w:cs="Times New Roman"/>
          <w:sz w:val="24"/>
          <w:szCs w:val="24"/>
        </w:rPr>
        <w:t xml:space="preserve"> на ИИС. Законопроектом пр</w:t>
      </w:r>
      <w:r w:rsidR="00C5519C" w:rsidRPr="00601AA3">
        <w:rPr>
          <w:rFonts w:ascii="Times New Roman" w:hAnsi="Times New Roman" w:cs="Times New Roman"/>
          <w:sz w:val="24"/>
          <w:szCs w:val="24"/>
        </w:rPr>
        <w:t>едусматривается</w:t>
      </w:r>
      <w:r w:rsidRPr="00601AA3">
        <w:rPr>
          <w:rFonts w:ascii="Times New Roman" w:hAnsi="Times New Roman" w:cs="Times New Roman"/>
          <w:sz w:val="24"/>
          <w:szCs w:val="24"/>
        </w:rPr>
        <w:t xml:space="preserve">, что основанием для </w:t>
      </w:r>
      <w:r w:rsidR="00BA77B4" w:rsidRPr="00601AA3">
        <w:rPr>
          <w:rFonts w:ascii="Times New Roman" w:hAnsi="Times New Roman" w:cs="Times New Roman"/>
          <w:sz w:val="24"/>
          <w:szCs w:val="24"/>
        </w:rPr>
        <w:t xml:space="preserve">выплаты компенсации </w:t>
      </w:r>
      <w:r w:rsidRPr="00601AA3">
        <w:rPr>
          <w:rFonts w:ascii="Times New Roman" w:hAnsi="Times New Roman" w:cs="Times New Roman"/>
          <w:sz w:val="24"/>
          <w:szCs w:val="24"/>
        </w:rPr>
        <w:t xml:space="preserve">является неполучение физическим лицом </w:t>
      </w:r>
      <w:r w:rsidR="00A77AB4" w:rsidRPr="00601AA3">
        <w:rPr>
          <w:rFonts w:ascii="Times New Roman" w:hAnsi="Times New Roman" w:cs="Times New Roman"/>
          <w:sz w:val="24"/>
          <w:szCs w:val="24"/>
        </w:rPr>
        <w:br/>
      </w:r>
      <w:r w:rsidRPr="00601AA3">
        <w:rPr>
          <w:rFonts w:ascii="Times New Roman" w:hAnsi="Times New Roman" w:cs="Times New Roman"/>
          <w:sz w:val="24"/>
          <w:szCs w:val="24"/>
        </w:rPr>
        <w:t xml:space="preserve">в полном объеме имущества, причитающегося ему в связи с прекращением договора </w:t>
      </w:r>
      <w:r w:rsidR="00A77AB4" w:rsidRPr="00601AA3">
        <w:rPr>
          <w:rFonts w:ascii="Times New Roman" w:hAnsi="Times New Roman" w:cs="Times New Roman"/>
          <w:sz w:val="24"/>
          <w:szCs w:val="24"/>
        </w:rPr>
        <w:br/>
      </w:r>
      <w:r w:rsidRPr="00601AA3">
        <w:rPr>
          <w:rFonts w:ascii="Times New Roman" w:hAnsi="Times New Roman" w:cs="Times New Roman"/>
          <w:sz w:val="24"/>
          <w:szCs w:val="24"/>
        </w:rPr>
        <w:t>о ведении ИИС в связи с банкротством брокера, управляющего или управляющей компании открытого паевого инвестиционного фонда. Участие брокеров, управляющих и управляющих компаний ОПИФ в системе возмещения стоимости имущества на ИИС предполагается добровольным.</w:t>
      </w:r>
    </w:p>
    <w:p w:rsidR="00C5519C" w:rsidRPr="00601AA3" w:rsidRDefault="00C5519C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  <w:r w:rsidRPr="00601AA3">
        <w:rPr>
          <w:rFonts w:ascii="Times New Roman" w:hAnsi="Times New Roman" w:cs="Times New Roman"/>
          <w:sz w:val="24"/>
          <w:szCs w:val="24"/>
        </w:rPr>
        <w:t xml:space="preserve">Законопроект предусматривает создание фонда на основе </w:t>
      </w:r>
      <w:r w:rsidR="00BA77B4" w:rsidRPr="00601AA3">
        <w:rPr>
          <w:rFonts w:ascii="Times New Roman" w:hAnsi="Times New Roman" w:cs="Times New Roman"/>
          <w:sz w:val="24"/>
          <w:szCs w:val="24"/>
        </w:rPr>
        <w:t>Федерального общественно-государственного фонда по защите прав вкладчиков и акционеров</w:t>
      </w:r>
      <w:r w:rsidRPr="00601AA3">
        <w:rPr>
          <w:rFonts w:ascii="Times New Roman" w:hAnsi="Times New Roman" w:cs="Times New Roman"/>
          <w:sz w:val="24"/>
          <w:szCs w:val="24"/>
        </w:rPr>
        <w:t>,</w:t>
      </w:r>
      <w:r w:rsidR="00BA77B4" w:rsidRPr="00601AA3">
        <w:rPr>
          <w:rFonts w:ascii="Times New Roman" w:hAnsi="Times New Roman" w:cs="Times New Roman"/>
          <w:sz w:val="24"/>
          <w:szCs w:val="24"/>
        </w:rPr>
        <w:t xml:space="preserve"> созданного в 1995 году,</w:t>
      </w:r>
      <w:r w:rsidRPr="00601AA3">
        <w:rPr>
          <w:rFonts w:ascii="Times New Roman" w:hAnsi="Times New Roman" w:cs="Times New Roman"/>
          <w:sz w:val="24"/>
          <w:szCs w:val="24"/>
        </w:rPr>
        <w:t xml:space="preserve"> а также участие в его управлении представителей НАУФОР и индустрии.</w:t>
      </w:r>
      <w:r w:rsidR="00BA77B4" w:rsidRPr="00601AA3">
        <w:rPr>
          <w:rFonts w:ascii="Times New Roman" w:hAnsi="Times New Roman" w:cs="Times New Roman"/>
          <w:sz w:val="24"/>
          <w:szCs w:val="24"/>
        </w:rPr>
        <w:t xml:space="preserve"> Обсуждение содержания законопроекта и подготовка его к принятию продолжается в 2025 году.</w:t>
      </w:r>
    </w:p>
    <w:p w:rsidR="00882A24" w:rsidRPr="00601AA3" w:rsidRDefault="00882A24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</w:p>
    <w:p w:rsidR="00EF11C9" w:rsidRPr="00601AA3" w:rsidRDefault="00BA77B4" w:rsidP="00A77AB4">
      <w:pPr>
        <w:tabs>
          <w:tab w:val="left" w:pos="9071"/>
        </w:tabs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01AA3">
        <w:rPr>
          <w:rFonts w:ascii="Times New Roman" w:hAnsi="Times New Roman" w:cs="Times New Roman"/>
          <w:b/>
          <w:sz w:val="24"/>
          <w:szCs w:val="24"/>
        </w:rPr>
        <w:t>2.</w:t>
      </w:r>
      <w:r w:rsidR="002B2A89" w:rsidRPr="00601AA3">
        <w:rPr>
          <w:rFonts w:ascii="Times New Roman" w:hAnsi="Times New Roman" w:cs="Times New Roman"/>
          <w:b/>
          <w:sz w:val="24"/>
          <w:szCs w:val="24"/>
        </w:rPr>
        <w:t xml:space="preserve"> Утверждение </w:t>
      </w:r>
      <w:r w:rsidR="00142C1F" w:rsidRPr="00601AA3">
        <w:rPr>
          <w:rFonts w:ascii="Times New Roman" w:hAnsi="Times New Roman" w:cs="Times New Roman"/>
          <w:b/>
          <w:sz w:val="24"/>
          <w:szCs w:val="24"/>
        </w:rPr>
        <w:t xml:space="preserve">внутренних </w:t>
      </w:r>
      <w:r w:rsidR="00EF11C9" w:rsidRPr="00601AA3">
        <w:rPr>
          <w:rFonts w:ascii="Times New Roman" w:hAnsi="Times New Roman" w:cs="Times New Roman"/>
          <w:b/>
          <w:sz w:val="24"/>
          <w:szCs w:val="24"/>
        </w:rPr>
        <w:t>стандартов</w:t>
      </w:r>
      <w:r w:rsidR="00142C1F" w:rsidRPr="00601AA3">
        <w:rPr>
          <w:rFonts w:ascii="Times New Roman" w:hAnsi="Times New Roman" w:cs="Times New Roman"/>
          <w:b/>
          <w:sz w:val="24"/>
          <w:szCs w:val="24"/>
        </w:rPr>
        <w:t xml:space="preserve"> НАУФОР</w:t>
      </w:r>
      <w:r w:rsidR="00EF11C9" w:rsidRPr="00601A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155E" w:rsidRPr="00601AA3" w:rsidRDefault="009E155E" w:rsidP="00A77AB4">
      <w:pPr>
        <w:tabs>
          <w:tab w:val="left" w:pos="9071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F11C9" w:rsidRPr="00601AA3" w:rsidRDefault="009E155E" w:rsidP="00A77AB4">
      <w:pPr>
        <w:tabs>
          <w:tab w:val="left" w:pos="9071"/>
        </w:tabs>
        <w:spacing w:after="0" w:line="36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601AA3">
        <w:rPr>
          <w:rFonts w:ascii="Times New Roman" w:hAnsi="Times New Roman" w:cs="Times New Roman"/>
          <w:i/>
          <w:sz w:val="24"/>
          <w:szCs w:val="24"/>
        </w:rPr>
        <w:t>Изменения в стандарт «Требования к предоставлению брокерами физическим лицам - получателям финансовых услуг информационных документов о финансовых инструментах»</w:t>
      </w:r>
    </w:p>
    <w:p w:rsidR="009E155E" w:rsidRPr="00601AA3" w:rsidRDefault="009E155E" w:rsidP="00A77AB4">
      <w:pPr>
        <w:tabs>
          <w:tab w:val="left" w:pos="9071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438B2" w:rsidRPr="00601AA3" w:rsidRDefault="00BA77B4" w:rsidP="00A77AB4">
      <w:pPr>
        <w:tabs>
          <w:tab w:val="left" w:pos="9071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01AA3">
        <w:rPr>
          <w:rFonts w:ascii="Times New Roman" w:hAnsi="Times New Roman" w:cs="Times New Roman"/>
          <w:sz w:val="24"/>
          <w:szCs w:val="24"/>
        </w:rPr>
        <w:t>В 2024 году</w:t>
      </w:r>
      <w:r w:rsidR="00EF11C9" w:rsidRPr="00601AA3">
        <w:rPr>
          <w:rFonts w:ascii="Times New Roman" w:hAnsi="Times New Roman" w:cs="Times New Roman"/>
          <w:sz w:val="24"/>
          <w:szCs w:val="24"/>
        </w:rPr>
        <w:t xml:space="preserve"> были утверждены </w:t>
      </w:r>
      <w:r w:rsidRPr="00601AA3">
        <w:rPr>
          <w:rFonts w:ascii="Times New Roman" w:hAnsi="Times New Roman" w:cs="Times New Roman"/>
          <w:sz w:val="24"/>
          <w:szCs w:val="24"/>
        </w:rPr>
        <w:t xml:space="preserve">два </w:t>
      </w:r>
      <w:r w:rsidR="00EF11C9" w:rsidRPr="00601AA3">
        <w:rPr>
          <w:rFonts w:ascii="Times New Roman" w:hAnsi="Times New Roman" w:cs="Times New Roman"/>
          <w:sz w:val="24"/>
          <w:szCs w:val="24"/>
        </w:rPr>
        <w:t>изменения во внутренний стандарт НАУФОР «Требования к предоставлению брокерами физическим лицам - получателям финансовых услуг информационных документов о финансовых инструментах»</w:t>
      </w:r>
      <w:r w:rsidR="00EF11C9" w:rsidRPr="00601AA3">
        <w:rPr>
          <w:rStyle w:val="ae"/>
          <w:rFonts w:ascii="Times New Roman" w:hAnsi="Times New Roman" w:cs="Times New Roman"/>
          <w:sz w:val="24"/>
          <w:szCs w:val="24"/>
        </w:rPr>
        <w:footnoteReference w:id="8"/>
      </w:r>
      <w:r w:rsidR="00EF11C9" w:rsidRPr="00601AA3">
        <w:rPr>
          <w:rFonts w:ascii="Times New Roman" w:hAnsi="Times New Roman" w:cs="Times New Roman"/>
          <w:sz w:val="24"/>
          <w:szCs w:val="24"/>
        </w:rPr>
        <w:t xml:space="preserve">. </w:t>
      </w:r>
      <w:r w:rsidRPr="00601AA3">
        <w:rPr>
          <w:rFonts w:ascii="Times New Roman" w:hAnsi="Times New Roman" w:cs="Times New Roman"/>
          <w:sz w:val="24"/>
          <w:szCs w:val="24"/>
        </w:rPr>
        <w:t xml:space="preserve">Первое из них </w:t>
      </w:r>
      <w:r w:rsidR="00EF11C9" w:rsidRPr="00601AA3">
        <w:rPr>
          <w:rFonts w:ascii="Times New Roman" w:hAnsi="Times New Roman" w:cs="Times New Roman"/>
          <w:sz w:val="24"/>
          <w:szCs w:val="24"/>
        </w:rPr>
        <w:t>позволя</w:t>
      </w:r>
      <w:r w:rsidR="00BF064B" w:rsidRPr="00601AA3">
        <w:rPr>
          <w:rFonts w:ascii="Times New Roman" w:hAnsi="Times New Roman" w:cs="Times New Roman"/>
          <w:sz w:val="24"/>
          <w:szCs w:val="24"/>
        </w:rPr>
        <w:t>е</w:t>
      </w:r>
      <w:r w:rsidR="00EF11C9" w:rsidRPr="00601AA3">
        <w:rPr>
          <w:rFonts w:ascii="Times New Roman" w:hAnsi="Times New Roman" w:cs="Times New Roman"/>
          <w:sz w:val="24"/>
          <w:szCs w:val="24"/>
        </w:rPr>
        <w:t xml:space="preserve">т брокеру при принятии поручения на совершение сделки с физическим лицом </w:t>
      </w:r>
      <w:r w:rsidR="00A640BA" w:rsidRPr="00601AA3">
        <w:rPr>
          <w:rFonts w:ascii="Times New Roman" w:hAnsi="Times New Roman" w:cs="Times New Roman"/>
          <w:sz w:val="24"/>
          <w:szCs w:val="24"/>
        </w:rPr>
        <w:br/>
      </w:r>
      <w:r w:rsidR="00EF11C9" w:rsidRPr="00601AA3">
        <w:rPr>
          <w:rFonts w:ascii="Times New Roman" w:hAnsi="Times New Roman" w:cs="Times New Roman"/>
          <w:sz w:val="24"/>
          <w:szCs w:val="24"/>
        </w:rPr>
        <w:t xml:space="preserve">в офисе брокера или третьего лица, действующего по поручению, от имени и за счет брокера, не предоставлять информационный документ на соответствующий финансовый инструмент в случае, если ранее физическому лицу был предоставлен паспорт такого финансового инструмента в соответствии с требованиями Внутреннего стандарта НАУФОР «Требования к взаимодействию с физическими лицами при предложении финансовых инструментов, а также услуг по совершению необеспеченных сделок». </w:t>
      </w:r>
    </w:p>
    <w:p w:rsidR="00EF11C9" w:rsidRPr="00601AA3" w:rsidRDefault="00BA77B4" w:rsidP="00A77AB4">
      <w:pPr>
        <w:tabs>
          <w:tab w:val="left" w:pos="9071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01AA3">
        <w:rPr>
          <w:rFonts w:ascii="Times New Roman" w:hAnsi="Times New Roman" w:cs="Times New Roman"/>
          <w:sz w:val="24"/>
          <w:szCs w:val="24"/>
        </w:rPr>
        <w:lastRenderedPageBreak/>
        <w:t>Второе изменение</w:t>
      </w:r>
      <w:r w:rsidR="00EF11C9" w:rsidRPr="00601AA3">
        <w:rPr>
          <w:rStyle w:val="ae"/>
          <w:rFonts w:ascii="Times New Roman" w:hAnsi="Times New Roman" w:cs="Times New Roman"/>
          <w:sz w:val="24"/>
          <w:szCs w:val="24"/>
        </w:rPr>
        <w:footnoteReference w:id="9"/>
      </w:r>
      <w:r w:rsidR="00EF11C9" w:rsidRPr="00601AA3">
        <w:rPr>
          <w:rFonts w:ascii="Times New Roman" w:hAnsi="Times New Roman" w:cs="Times New Roman"/>
          <w:sz w:val="24"/>
          <w:szCs w:val="24"/>
        </w:rPr>
        <w:t xml:space="preserve"> ввод</w:t>
      </w:r>
      <w:r w:rsidRPr="00601AA3">
        <w:rPr>
          <w:rFonts w:ascii="Times New Roman" w:hAnsi="Times New Roman" w:cs="Times New Roman"/>
          <w:sz w:val="24"/>
          <w:szCs w:val="24"/>
        </w:rPr>
        <w:t>и</w:t>
      </w:r>
      <w:r w:rsidR="00EF11C9" w:rsidRPr="00601AA3">
        <w:rPr>
          <w:rFonts w:ascii="Times New Roman" w:hAnsi="Times New Roman" w:cs="Times New Roman"/>
          <w:sz w:val="24"/>
          <w:szCs w:val="24"/>
        </w:rPr>
        <w:t xml:space="preserve">т требование о размещении информационных документов на той же странице сайта, на которой брокер раскрывает информацию в соответствии </w:t>
      </w:r>
      <w:r w:rsidR="00A640BA" w:rsidRPr="00601AA3">
        <w:rPr>
          <w:rFonts w:ascii="Times New Roman" w:hAnsi="Times New Roman" w:cs="Times New Roman"/>
          <w:sz w:val="24"/>
          <w:szCs w:val="24"/>
        </w:rPr>
        <w:br/>
      </w:r>
      <w:r w:rsidR="00EF11C9" w:rsidRPr="00601AA3">
        <w:rPr>
          <w:rFonts w:ascii="Times New Roman" w:hAnsi="Times New Roman" w:cs="Times New Roman"/>
          <w:sz w:val="24"/>
          <w:szCs w:val="24"/>
        </w:rPr>
        <w:t xml:space="preserve">с Указанием Банка России от 02 августа 2023 года </w:t>
      </w:r>
      <w:r w:rsidR="00A640BA" w:rsidRPr="00601AA3">
        <w:rPr>
          <w:rFonts w:ascii="Times New Roman" w:hAnsi="Times New Roman" w:cs="Times New Roman"/>
          <w:sz w:val="24"/>
          <w:szCs w:val="24"/>
        </w:rPr>
        <w:t xml:space="preserve">№ </w:t>
      </w:r>
      <w:r w:rsidR="00EF11C9" w:rsidRPr="00601AA3">
        <w:rPr>
          <w:rFonts w:ascii="Times New Roman" w:hAnsi="Times New Roman" w:cs="Times New Roman"/>
          <w:sz w:val="24"/>
          <w:szCs w:val="24"/>
        </w:rPr>
        <w:t xml:space="preserve">6496-У «О раскрытии информации профессиональными участниками рынка ценных бумаг». </w:t>
      </w:r>
    </w:p>
    <w:p w:rsidR="00EF11C9" w:rsidRPr="00601AA3" w:rsidRDefault="00EF11C9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</w:p>
    <w:p w:rsidR="00960238" w:rsidRPr="00601AA3" w:rsidRDefault="00960238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i/>
          <w:sz w:val="24"/>
          <w:szCs w:val="24"/>
        </w:rPr>
      </w:pPr>
      <w:r w:rsidRPr="00601AA3">
        <w:rPr>
          <w:rFonts w:ascii="Times New Roman" w:hAnsi="Times New Roman" w:cs="Times New Roman"/>
          <w:i/>
          <w:sz w:val="24"/>
          <w:szCs w:val="24"/>
        </w:rPr>
        <w:t xml:space="preserve">Справочно: </w:t>
      </w:r>
      <w:r w:rsidR="00A640BA" w:rsidRPr="00601AA3">
        <w:rPr>
          <w:rFonts w:ascii="Times New Roman" w:hAnsi="Times New Roman" w:cs="Times New Roman"/>
          <w:i/>
          <w:sz w:val="24"/>
          <w:szCs w:val="24"/>
        </w:rPr>
        <w:t>в</w:t>
      </w:r>
      <w:r w:rsidRPr="00601AA3">
        <w:rPr>
          <w:rFonts w:ascii="Times New Roman" w:hAnsi="Times New Roman" w:cs="Times New Roman"/>
          <w:i/>
          <w:sz w:val="24"/>
          <w:szCs w:val="24"/>
        </w:rPr>
        <w:t xml:space="preserve"> апреле 2025 года Советом директоров </w:t>
      </w:r>
      <w:r w:rsidR="00A640BA" w:rsidRPr="00601AA3">
        <w:rPr>
          <w:rFonts w:ascii="Times New Roman" w:hAnsi="Times New Roman" w:cs="Times New Roman"/>
          <w:i/>
          <w:sz w:val="24"/>
          <w:szCs w:val="24"/>
        </w:rPr>
        <w:t xml:space="preserve">НАУФОР </w:t>
      </w:r>
      <w:r w:rsidRPr="00601AA3">
        <w:rPr>
          <w:rFonts w:ascii="Times New Roman" w:hAnsi="Times New Roman" w:cs="Times New Roman"/>
          <w:i/>
          <w:sz w:val="24"/>
          <w:szCs w:val="24"/>
        </w:rPr>
        <w:t>была утверждена новая редакция внутреннего стандарта «Порядок расчета стоимости чистых активов паевого инвестиционного фонда и стоимости инвестиционного пая»</w:t>
      </w:r>
      <w:r w:rsidRPr="00601AA3">
        <w:rPr>
          <w:rStyle w:val="ae"/>
          <w:rFonts w:ascii="Times New Roman" w:hAnsi="Times New Roman" w:cs="Times New Roman"/>
          <w:i/>
          <w:sz w:val="24"/>
          <w:szCs w:val="24"/>
        </w:rPr>
        <w:footnoteReference w:id="10"/>
      </w:r>
      <w:r w:rsidRPr="00601AA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640BA" w:rsidRPr="00601AA3">
        <w:rPr>
          <w:rFonts w:ascii="Times New Roman" w:hAnsi="Times New Roman" w:cs="Times New Roman"/>
          <w:i/>
          <w:sz w:val="24"/>
          <w:szCs w:val="24"/>
        </w:rPr>
        <w:br/>
      </w:r>
      <w:r w:rsidRPr="00601AA3">
        <w:rPr>
          <w:rFonts w:ascii="Times New Roman" w:hAnsi="Times New Roman" w:cs="Times New Roman"/>
          <w:i/>
          <w:sz w:val="24"/>
          <w:szCs w:val="24"/>
        </w:rPr>
        <w:t>В новую редакцию включены методики определения справедливой стоимости прав и обязательств по договорам аренды и оценки производных финансовых инструментов и контрактов (опционных договоров). Ряд положени</w:t>
      </w:r>
      <w:r w:rsidR="00A640BA" w:rsidRPr="00601AA3">
        <w:rPr>
          <w:rFonts w:ascii="Times New Roman" w:hAnsi="Times New Roman" w:cs="Times New Roman"/>
          <w:i/>
          <w:sz w:val="24"/>
          <w:szCs w:val="24"/>
        </w:rPr>
        <w:t>й</w:t>
      </w:r>
      <w:r w:rsidRPr="00601AA3">
        <w:rPr>
          <w:rFonts w:ascii="Times New Roman" w:hAnsi="Times New Roman" w:cs="Times New Roman"/>
          <w:i/>
          <w:sz w:val="24"/>
          <w:szCs w:val="24"/>
        </w:rPr>
        <w:t xml:space="preserve"> стандарта скорректированы </w:t>
      </w:r>
      <w:r w:rsidR="00A640BA" w:rsidRPr="00601AA3">
        <w:rPr>
          <w:rFonts w:ascii="Times New Roman" w:hAnsi="Times New Roman" w:cs="Times New Roman"/>
          <w:i/>
          <w:sz w:val="24"/>
          <w:szCs w:val="24"/>
        </w:rPr>
        <w:br/>
      </w:r>
      <w:r w:rsidRPr="00601AA3">
        <w:rPr>
          <w:rFonts w:ascii="Times New Roman" w:hAnsi="Times New Roman" w:cs="Times New Roman"/>
          <w:i/>
          <w:sz w:val="24"/>
          <w:szCs w:val="24"/>
        </w:rPr>
        <w:t>с учетом требований Указания Банка России № 6779-У и увеличения до одного года предельного срока действия отчета оценщика в отношении имущества КПИФ</w:t>
      </w:r>
      <w:r w:rsidR="00BF064B" w:rsidRPr="00601AA3">
        <w:rPr>
          <w:rFonts w:ascii="Times New Roman" w:hAnsi="Times New Roman" w:cs="Times New Roman"/>
          <w:i/>
          <w:sz w:val="24"/>
          <w:szCs w:val="24"/>
        </w:rPr>
        <w:t>.</w:t>
      </w:r>
      <w:r w:rsidRPr="00601AA3">
        <w:rPr>
          <w:rFonts w:ascii="Times New Roman" w:hAnsi="Times New Roman" w:cs="Times New Roman"/>
          <w:i/>
          <w:sz w:val="24"/>
          <w:szCs w:val="24"/>
        </w:rPr>
        <w:t xml:space="preserve"> Также предусмотрена возможность оценки отдельных активов амортизированной стоимости, в соответствии с МСФО (IFRS) 9.</w:t>
      </w:r>
    </w:p>
    <w:p w:rsidR="00960238" w:rsidRPr="00601AA3" w:rsidRDefault="00960238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i/>
          <w:sz w:val="24"/>
          <w:szCs w:val="24"/>
        </w:rPr>
      </w:pPr>
      <w:r w:rsidRPr="00601AA3">
        <w:rPr>
          <w:rFonts w:ascii="Times New Roman" w:hAnsi="Times New Roman" w:cs="Times New Roman"/>
          <w:i/>
          <w:sz w:val="24"/>
          <w:szCs w:val="24"/>
        </w:rPr>
        <w:t xml:space="preserve">Также в апреле 2025 года Совет директоров </w:t>
      </w:r>
      <w:r w:rsidR="00A640BA" w:rsidRPr="00601AA3">
        <w:rPr>
          <w:rFonts w:ascii="Times New Roman" w:hAnsi="Times New Roman" w:cs="Times New Roman"/>
          <w:i/>
          <w:sz w:val="24"/>
          <w:szCs w:val="24"/>
        </w:rPr>
        <w:t xml:space="preserve">НАУФОР </w:t>
      </w:r>
      <w:r w:rsidRPr="00601AA3">
        <w:rPr>
          <w:rFonts w:ascii="Times New Roman" w:hAnsi="Times New Roman" w:cs="Times New Roman"/>
          <w:i/>
          <w:sz w:val="24"/>
          <w:szCs w:val="24"/>
        </w:rPr>
        <w:t>утвердил внутренний стандарт «Взаимодействие регистраторов с разработчиками программного обеспечения»</w:t>
      </w:r>
      <w:r w:rsidRPr="00601AA3">
        <w:rPr>
          <w:rStyle w:val="ae"/>
          <w:rFonts w:ascii="Times New Roman" w:hAnsi="Times New Roman" w:cs="Times New Roman"/>
          <w:i/>
          <w:sz w:val="24"/>
          <w:szCs w:val="24"/>
        </w:rPr>
        <w:footnoteReference w:id="11"/>
      </w:r>
      <w:r w:rsidRPr="00601AA3">
        <w:rPr>
          <w:rFonts w:ascii="Times New Roman" w:hAnsi="Times New Roman" w:cs="Times New Roman"/>
          <w:i/>
          <w:sz w:val="24"/>
          <w:szCs w:val="24"/>
        </w:rPr>
        <w:t>. Стандарт разработан в целях совершенствования системы управления рисками информационных технологи</w:t>
      </w:r>
      <w:r w:rsidR="00BF064B" w:rsidRPr="00601AA3">
        <w:rPr>
          <w:rFonts w:ascii="Times New Roman" w:hAnsi="Times New Roman" w:cs="Times New Roman"/>
          <w:i/>
          <w:sz w:val="24"/>
          <w:szCs w:val="24"/>
        </w:rPr>
        <w:t>й</w:t>
      </w:r>
      <w:r w:rsidRPr="00601AA3">
        <w:rPr>
          <w:rFonts w:ascii="Times New Roman" w:hAnsi="Times New Roman" w:cs="Times New Roman"/>
          <w:i/>
          <w:sz w:val="24"/>
          <w:szCs w:val="24"/>
        </w:rPr>
        <w:t xml:space="preserve"> регистраторов при выборе программного обеспечения и его поставщика. Он определяет требования к договору </w:t>
      </w:r>
      <w:r w:rsidR="00A640BA" w:rsidRPr="00601AA3">
        <w:rPr>
          <w:rFonts w:ascii="Times New Roman" w:hAnsi="Times New Roman" w:cs="Times New Roman"/>
          <w:i/>
          <w:sz w:val="24"/>
          <w:szCs w:val="24"/>
        </w:rPr>
        <w:br/>
      </w:r>
      <w:r w:rsidRPr="00601AA3">
        <w:rPr>
          <w:rFonts w:ascii="Times New Roman" w:hAnsi="Times New Roman" w:cs="Times New Roman"/>
          <w:i/>
          <w:sz w:val="24"/>
          <w:szCs w:val="24"/>
        </w:rPr>
        <w:t>на поставку и сопровождение программного обеспечения, к анализу поставщика программного обеспечения.</w:t>
      </w:r>
    </w:p>
    <w:p w:rsidR="00960238" w:rsidRPr="00601AA3" w:rsidRDefault="00960238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i/>
          <w:sz w:val="24"/>
          <w:szCs w:val="24"/>
        </w:rPr>
      </w:pPr>
    </w:p>
    <w:p w:rsidR="00957FF3" w:rsidRPr="00601AA3" w:rsidRDefault="00957FF3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i/>
          <w:sz w:val="24"/>
          <w:szCs w:val="24"/>
        </w:rPr>
      </w:pPr>
      <w:r w:rsidRPr="00601AA3">
        <w:rPr>
          <w:rFonts w:ascii="Times New Roman" w:hAnsi="Times New Roman" w:cs="Times New Roman"/>
          <w:i/>
          <w:sz w:val="24"/>
          <w:szCs w:val="24"/>
        </w:rPr>
        <w:t>Изменени</w:t>
      </w:r>
      <w:r w:rsidR="00BA77B4" w:rsidRPr="00601AA3">
        <w:rPr>
          <w:rFonts w:ascii="Times New Roman" w:hAnsi="Times New Roman" w:cs="Times New Roman"/>
          <w:i/>
          <w:sz w:val="24"/>
          <w:szCs w:val="24"/>
        </w:rPr>
        <w:t>я</w:t>
      </w:r>
      <w:r w:rsidRPr="00601A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A77B4" w:rsidRPr="00601AA3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601AA3">
        <w:rPr>
          <w:rFonts w:ascii="Times New Roman" w:hAnsi="Times New Roman" w:cs="Times New Roman"/>
          <w:i/>
          <w:sz w:val="24"/>
          <w:szCs w:val="24"/>
        </w:rPr>
        <w:t>стандарт</w:t>
      </w:r>
      <w:r w:rsidR="00BA77B4" w:rsidRPr="00601AA3">
        <w:rPr>
          <w:rFonts w:ascii="Times New Roman" w:hAnsi="Times New Roman" w:cs="Times New Roman"/>
          <w:i/>
          <w:sz w:val="24"/>
          <w:szCs w:val="24"/>
        </w:rPr>
        <w:t>ы</w:t>
      </w:r>
      <w:r w:rsidRPr="00601A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A77B4" w:rsidRPr="00601AA3">
        <w:rPr>
          <w:rFonts w:ascii="Times New Roman" w:hAnsi="Times New Roman" w:cs="Times New Roman"/>
          <w:i/>
          <w:sz w:val="24"/>
          <w:szCs w:val="24"/>
        </w:rPr>
        <w:t xml:space="preserve">осуществления </w:t>
      </w:r>
      <w:r w:rsidRPr="00601AA3">
        <w:rPr>
          <w:rFonts w:ascii="Times New Roman" w:hAnsi="Times New Roman" w:cs="Times New Roman"/>
          <w:i/>
          <w:sz w:val="24"/>
          <w:szCs w:val="24"/>
        </w:rPr>
        <w:t xml:space="preserve">контроля и дисциплинарного производства </w:t>
      </w:r>
    </w:p>
    <w:p w:rsidR="00957FF3" w:rsidRPr="00601AA3" w:rsidRDefault="00957FF3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</w:p>
    <w:p w:rsidR="00957FF3" w:rsidRPr="00601AA3" w:rsidRDefault="00957FF3" w:rsidP="00A77AB4">
      <w:pPr>
        <w:tabs>
          <w:tab w:val="left" w:pos="9071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01AA3">
        <w:rPr>
          <w:rFonts w:ascii="Times New Roman" w:hAnsi="Times New Roman" w:cs="Times New Roman"/>
          <w:sz w:val="24"/>
          <w:szCs w:val="24"/>
        </w:rPr>
        <w:t>В июне 2024 года НАУФОР начала поэтапную реформу дисциплинарного производства. Для этого были внесены изменения</w:t>
      </w:r>
      <w:r w:rsidR="000559CE" w:rsidRPr="00601AA3">
        <w:rPr>
          <w:rStyle w:val="ae"/>
          <w:rFonts w:ascii="Times New Roman" w:hAnsi="Times New Roman" w:cs="Times New Roman"/>
          <w:sz w:val="24"/>
          <w:szCs w:val="24"/>
        </w:rPr>
        <w:footnoteReference w:id="12"/>
      </w:r>
      <w:r w:rsidRPr="00601AA3">
        <w:rPr>
          <w:rFonts w:ascii="Times New Roman" w:hAnsi="Times New Roman" w:cs="Times New Roman"/>
          <w:sz w:val="24"/>
          <w:szCs w:val="24"/>
        </w:rPr>
        <w:t xml:space="preserve"> во внутренние стандарты НАУФОР «Система мер воздействия и порядок их применения за несоблюдение членами НАУФОР требований базовых стандартов, внутренних стандартов и иных внутренних документов НАУФОР» и «Порядок проведения Национальной ассоциацией участников фондового рынка проверок соблюдения ее членами требований законодательства Российской Федерации, нормативных актов Банка России, базовых стандартов, внутренних </w:t>
      </w:r>
      <w:r w:rsidRPr="00601AA3">
        <w:rPr>
          <w:rFonts w:ascii="Times New Roman" w:hAnsi="Times New Roman" w:cs="Times New Roman"/>
          <w:sz w:val="24"/>
          <w:szCs w:val="24"/>
        </w:rPr>
        <w:lastRenderedPageBreak/>
        <w:t xml:space="preserve">стандартов и иных внутренних документов НАУФОР», а также в </w:t>
      </w:r>
      <w:r w:rsidR="00BA77B4" w:rsidRPr="00601AA3">
        <w:rPr>
          <w:rFonts w:ascii="Times New Roman" w:hAnsi="Times New Roman" w:cs="Times New Roman"/>
          <w:sz w:val="24"/>
          <w:szCs w:val="24"/>
        </w:rPr>
        <w:t>П</w:t>
      </w:r>
      <w:r w:rsidRPr="00601AA3">
        <w:rPr>
          <w:rFonts w:ascii="Times New Roman" w:hAnsi="Times New Roman" w:cs="Times New Roman"/>
          <w:sz w:val="24"/>
          <w:szCs w:val="24"/>
        </w:rPr>
        <w:t xml:space="preserve">оложение </w:t>
      </w:r>
      <w:r w:rsidR="00A640BA" w:rsidRPr="00601AA3">
        <w:rPr>
          <w:rFonts w:ascii="Times New Roman" w:hAnsi="Times New Roman" w:cs="Times New Roman"/>
          <w:sz w:val="24"/>
          <w:szCs w:val="24"/>
        </w:rPr>
        <w:br/>
      </w:r>
      <w:r w:rsidRPr="00601AA3">
        <w:rPr>
          <w:rFonts w:ascii="Times New Roman" w:hAnsi="Times New Roman" w:cs="Times New Roman"/>
          <w:sz w:val="24"/>
          <w:szCs w:val="24"/>
        </w:rPr>
        <w:t>о Дисциплинарном комитете НАУФОР.</w:t>
      </w:r>
    </w:p>
    <w:p w:rsidR="00AD5126" w:rsidRPr="00601AA3" w:rsidRDefault="00957FF3" w:rsidP="00A77AB4">
      <w:pPr>
        <w:tabs>
          <w:tab w:val="left" w:pos="9071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01AA3">
        <w:rPr>
          <w:rFonts w:ascii="Times New Roman" w:hAnsi="Times New Roman" w:cs="Times New Roman"/>
          <w:sz w:val="24"/>
          <w:szCs w:val="24"/>
        </w:rPr>
        <w:t xml:space="preserve">В новой редакции стандартов усилилась независимость </w:t>
      </w:r>
      <w:r w:rsidR="00BA77B4" w:rsidRPr="00601AA3">
        <w:rPr>
          <w:rFonts w:ascii="Times New Roman" w:hAnsi="Times New Roman" w:cs="Times New Roman"/>
          <w:sz w:val="24"/>
          <w:szCs w:val="24"/>
        </w:rPr>
        <w:t>членов Дисциплинарного комитета НАУФОР от контрольного подразделения</w:t>
      </w:r>
      <w:r w:rsidRPr="00601AA3">
        <w:rPr>
          <w:rFonts w:ascii="Times New Roman" w:hAnsi="Times New Roman" w:cs="Times New Roman"/>
          <w:sz w:val="24"/>
          <w:szCs w:val="24"/>
        </w:rPr>
        <w:t xml:space="preserve">, были уточнены смягчающие и отягчающие обстоятельства нарушений, разделены дисциплинарные санкции и иные меры дисциплинарного воздействия, уточнены полномочия Совета директоров при обжаловании решений </w:t>
      </w:r>
      <w:r w:rsidR="000559CE" w:rsidRPr="00601AA3">
        <w:rPr>
          <w:rFonts w:ascii="Times New Roman" w:hAnsi="Times New Roman" w:cs="Times New Roman"/>
          <w:sz w:val="24"/>
          <w:szCs w:val="24"/>
        </w:rPr>
        <w:t>Д</w:t>
      </w:r>
      <w:r w:rsidRPr="00601AA3">
        <w:rPr>
          <w:rFonts w:ascii="Times New Roman" w:hAnsi="Times New Roman" w:cs="Times New Roman"/>
          <w:sz w:val="24"/>
          <w:szCs w:val="24"/>
        </w:rPr>
        <w:t>исциплинарного комитета.</w:t>
      </w:r>
    </w:p>
    <w:p w:rsidR="004013AF" w:rsidRPr="00601AA3" w:rsidRDefault="00957FF3" w:rsidP="00A77AB4">
      <w:pPr>
        <w:tabs>
          <w:tab w:val="left" w:pos="9071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01AA3">
        <w:rPr>
          <w:rFonts w:ascii="Times New Roman" w:hAnsi="Times New Roman" w:cs="Times New Roman"/>
          <w:sz w:val="24"/>
          <w:szCs w:val="24"/>
        </w:rPr>
        <w:t xml:space="preserve">Одним из важнейших изменений является новый порядок возбуждения дисциплинарного производства. В стандартах предусмотрено, что заявление </w:t>
      </w:r>
      <w:r w:rsidR="00A640BA" w:rsidRPr="00601AA3">
        <w:rPr>
          <w:rFonts w:ascii="Times New Roman" w:hAnsi="Times New Roman" w:cs="Times New Roman"/>
          <w:sz w:val="24"/>
          <w:szCs w:val="24"/>
        </w:rPr>
        <w:br/>
      </w:r>
      <w:r w:rsidRPr="00601AA3">
        <w:rPr>
          <w:rFonts w:ascii="Times New Roman" w:hAnsi="Times New Roman" w:cs="Times New Roman"/>
          <w:sz w:val="24"/>
          <w:szCs w:val="24"/>
        </w:rPr>
        <w:t>о возбуждении дисциплинарного производства может не включать указанные в акте</w:t>
      </w:r>
      <w:r w:rsidR="004013AF" w:rsidRPr="00601AA3">
        <w:rPr>
          <w:rFonts w:ascii="Times New Roman" w:hAnsi="Times New Roman" w:cs="Times New Roman"/>
          <w:sz w:val="24"/>
          <w:szCs w:val="24"/>
        </w:rPr>
        <w:t>:</w:t>
      </w:r>
    </w:p>
    <w:p w:rsidR="004013AF" w:rsidRPr="00601AA3" w:rsidRDefault="00957FF3" w:rsidP="00A77AB4">
      <w:pPr>
        <w:tabs>
          <w:tab w:val="left" w:pos="9071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01AA3">
        <w:rPr>
          <w:rFonts w:ascii="Times New Roman" w:hAnsi="Times New Roman" w:cs="Times New Roman"/>
          <w:sz w:val="24"/>
          <w:szCs w:val="24"/>
        </w:rPr>
        <w:t>нарушения, по которым были представлены возражения, признанные обоснованными</w:t>
      </w:r>
      <w:r w:rsidR="004013AF" w:rsidRPr="00601AA3">
        <w:rPr>
          <w:rFonts w:ascii="Times New Roman" w:hAnsi="Times New Roman" w:cs="Times New Roman"/>
          <w:sz w:val="24"/>
          <w:szCs w:val="24"/>
        </w:rPr>
        <w:t>;</w:t>
      </w:r>
      <w:r w:rsidRPr="00601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3AF" w:rsidRPr="00601AA3" w:rsidRDefault="00957FF3" w:rsidP="00A77AB4">
      <w:pPr>
        <w:tabs>
          <w:tab w:val="left" w:pos="9071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01AA3">
        <w:rPr>
          <w:rFonts w:ascii="Times New Roman" w:hAnsi="Times New Roman" w:cs="Times New Roman"/>
          <w:sz w:val="24"/>
          <w:szCs w:val="24"/>
        </w:rPr>
        <w:t xml:space="preserve">нарушения, которые член НАУФОР устранил, либо предпринял необходимые и достаточные меры для недопущения их в дальнейшем и при этом такие нарушения </w:t>
      </w:r>
      <w:r w:rsidR="00A640BA" w:rsidRPr="00601AA3">
        <w:rPr>
          <w:rFonts w:ascii="Times New Roman" w:hAnsi="Times New Roman" w:cs="Times New Roman"/>
          <w:sz w:val="24"/>
          <w:szCs w:val="24"/>
        </w:rPr>
        <w:br/>
      </w:r>
      <w:r w:rsidRPr="00601AA3">
        <w:rPr>
          <w:rFonts w:ascii="Times New Roman" w:hAnsi="Times New Roman" w:cs="Times New Roman"/>
          <w:sz w:val="24"/>
          <w:szCs w:val="24"/>
        </w:rPr>
        <w:t>не причинили вреда или причиненный нарушениями вред был компенсирован нарушителем</w:t>
      </w:r>
      <w:r w:rsidR="004013AF" w:rsidRPr="00601AA3">
        <w:rPr>
          <w:rFonts w:ascii="Times New Roman" w:hAnsi="Times New Roman" w:cs="Times New Roman"/>
          <w:sz w:val="24"/>
          <w:szCs w:val="24"/>
        </w:rPr>
        <w:t>;</w:t>
      </w:r>
      <w:r w:rsidRPr="00601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3AF" w:rsidRPr="00601AA3" w:rsidRDefault="00957FF3" w:rsidP="00A77AB4">
      <w:pPr>
        <w:tabs>
          <w:tab w:val="left" w:pos="9071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01AA3">
        <w:rPr>
          <w:rFonts w:ascii="Times New Roman" w:hAnsi="Times New Roman" w:cs="Times New Roman"/>
          <w:sz w:val="24"/>
          <w:szCs w:val="24"/>
        </w:rPr>
        <w:t>нарушения, выявленные в результате рассмотрения жалобы, которая была отозвана</w:t>
      </w:r>
      <w:r w:rsidR="004013AF" w:rsidRPr="00601AA3">
        <w:rPr>
          <w:rFonts w:ascii="Times New Roman" w:hAnsi="Times New Roman" w:cs="Times New Roman"/>
          <w:sz w:val="24"/>
          <w:szCs w:val="24"/>
        </w:rPr>
        <w:t>;</w:t>
      </w:r>
      <w:r w:rsidRPr="00601A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3AF" w:rsidRPr="00601AA3" w:rsidRDefault="00957FF3" w:rsidP="00A77AB4">
      <w:pPr>
        <w:tabs>
          <w:tab w:val="left" w:pos="9071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01AA3">
        <w:rPr>
          <w:rFonts w:ascii="Times New Roman" w:hAnsi="Times New Roman" w:cs="Times New Roman"/>
          <w:sz w:val="24"/>
          <w:szCs w:val="24"/>
        </w:rPr>
        <w:t xml:space="preserve">нарушения, которые в соответствии со сложившейся к моменту составления заявления практикой Дисциплинарного комитета НАУФОР не считаются таковыми. </w:t>
      </w:r>
    </w:p>
    <w:p w:rsidR="00BD1F25" w:rsidRPr="00601AA3" w:rsidRDefault="00957FF3" w:rsidP="00A77AB4">
      <w:pPr>
        <w:tabs>
          <w:tab w:val="left" w:pos="9071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01AA3">
        <w:rPr>
          <w:rFonts w:ascii="Times New Roman" w:hAnsi="Times New Roman" w:cs="Times New Roman"/>
          <w:sz w:val="24"/>
          <w:szCs w:val="24"/>
        </w:rPr>
        <w:t xml:space="preserve">При этом, председателю Дисциплинарного комитета </w:t>
      </w:r>
      <w:r w:rsidR="000559CE" w:rsidRPr="00601AA3">
        <w:rPr>
          <w:rFonts w:ascii="Times New Roman" w:hAnsi="Times New Roman" w:cs="Times New Roman"/>
          <w:sz w:val="24"/>
          <w:szCs w:val="24"/>
        </w:rPr>
        <w:t>направляется</w:t>
      </w:r>
      <w:r w:rsidRPr="00601AA3">
        <w:rPr>
          <w:rFonts w:ascii="Times New Roman" w:hAnsi="Times New Roman" w:cs="Times New Roman"/>
          <w:sz w:val="24"/>
          <w:szCs w:val="24"/>
        </w:rPr>
        <w:t xml:space="preserve"> справка </w:t>
      </w:r>
      <w:r w:rsidR="00A640BA" w:rsidRPr="00601AA3">
        <w:rPr>
          <w:rFonts w:ascii="Times New Roman" w:hAnsi="Times New Roman" w:cs="Times New Roman"/>
          <w:sz w:val="24"/>
          <w:szCs w:val="24"/>
        </w:rPr>
        <w:br/>
      </w:r>
      <w:r w:rsidRPr="00601AA3">
        <w:rPr>
          <w:rFonts w:ascii="Times New Roman" w:hAnsi="Times New Roman" w:cs="Times New Roman"/>
          <w:sz w:val="24"/>
          <w:szCs w:val="24"/>
        </w:rPr>
        <w:t xml:space="preserve">по всем </w:t>
      </w:r>
      <w:r w:rsidR="00BF064B" w:rsidRPr="00601AA3">
        <w:rPr>
          <w:rFonts w:ascii="Times New Roman" w:hAnsi="Times New Roman" w:cs="Times New Roman"/>
          <w:sz w:val="24"/>
          <w:szCs w:val="24"/>
        </w:rPr>
        <w:t>выявленным в ходе проведения проверки</w:t>
      </w:r>
      <w:r w:rsidRPr="00601AA3">
        <w:rPr>
          <w:rFonts w:ascii="Times New Roman" w:hAnsi="Times New Roman" w:cs="Times New Roman"/>
          <w:sz w:val="24"/>
          <w:szCs w:val="24"/>
        </w:rPr>
        <w:t xml:space="preserve"> нарушениям и ему предоставляется право окончательного решения о возбуждении дисциплинарного дела по нарушениям, которые не включены в заявление. Данный подход позволил стимулировать устранение нарушений до направления дела в Дисциплинарный комитет, урегулирование конфликта между членами НАУФОР и подавшими на них жалобу клиентами, «разгрузить» Дисциплинарный комитет, сфокусировать его работу на серьезных нарушениях, приведших к </w:t>
      </w:r>
      <w:r w:rsidR="00D97A52" w:rsidRPr="00601AA3">
        <w:rPr>
          <w:rFonts w:ascii="Times New Roman" w:hAnsi="Times New Roman" w:cs="Times New Roman"/>
          <w:sz w:val="24"/>
          <w:szCs w:val="24"/>
        </w:rPr>
        <w:t xml:space="preserve">причинению </w:t>
      </w:r>
      <w:r w:rsidRPr="00601AA3">
        <w:rPr>
          <w:rFonts w:ascii="Times New Roman" w:hAnsi="Times New Roman" w:cs="Times New Roman"/>
          <w:sz w:val="24"/>
          <w:szCs w:val="24"/>
        </w:rPr>
        <w:t>ущерб</w:t>
      </w:r>
      <w:r w:rsidR="00D97A52" w:rsidRPr="00601AA3">
        <w:rPr>
          <w:rFonts w:ascii="Times New Roman" w:hAnsi="Times New Roman" w:cs="Times New Roman"/>
          <w:sz w:val="24"/>
          <w:szCs w:val="24"/>
        </w:rPr>
        <w:t>а</w:t>
      </w:r>
      <w:r w:rsidRPr="00601AA3">
        <w:rPr>
          <w:rFonts w:ascii="Times New Roman" w:hAnsi="Times New Roman" w:cs="Times New Roman"/>
          <w:sz w:val="24"/>
          <w:szCs w:val="24"/>
        </w:rPr>
        <w:t>. В результате применения указанных изменений</w:t>
      </w:r>
      <w:r w:rsidR="00D97A52" w:rsidRPr="00601AA3">
        <w:rPr>
          <w:rFonts w:ascii="Times New Roman" w:hAnsi="Times New Roman" w:cs="Times New Roman"/>
          <w:sz w:val="24"/>
          <w:szCs w:val="24"/>
        </w:rPr>
        <w:t>,</w:t>
      </w:r>
      <w:r w:rsidRPr="00601AA3">
        <w:rPr>
          <w:rFonts w:ascii="Times New Roman" w:hAnsi="Times New Roman" w:cs="Times New Roman"/>
          <w:sz w:val="24"/>
          <w:szCs w:val="24"/>
        </w:rPr>
        <w:t xml:space="preserve"> в 89 случаях устранения нарушений </w:t>
      </w:r>
      <w:r w:rsidR="00D97A52" w:rsidRPr="00601AA3">
        <w:rPr>
          <w:rFonts w:ascii="Times New Roman" w:hAnsi="Times New Roman" w:cs="Times New Roman"/>
          <w:sz w:val="24"/>
          <w:szCs w:val="24"/>
        </w:rPr>
        <w:t>члены НАУФОР</w:t>
      </w:r>
      <w:r w:rsidRPr="00601AA3">
        <w:rPr>
          <w:rFonts w:ascii="Times New Roman" w:hAnsi="Times New Roman" w:cs="Times New Roman"/>
          <w:sz w:val="24"/>
          <w:szCs w:val="24"/>
        </w:rPr>
        <w:t xml:space="preserve"> были освобождены от рассмотрения </w:t>
      </w:r>
      <w:r w:rsidR="00D97A52" w:rsidRPr="00601AA3">
        <w:rPr>
          <w:rFonts w:ascii="Times New Roman" w:hAnsi="Times New Roman" w:cs="Times New Roman"/>
          <w:sz w:val="24"/>
          <w:szCs w:val="24"/>
        </w:rPr>
        <w:t xml:space="preserve">дел </w:t>
      </w:r>
      <w:r w:rsidRPr="00601AA3">
        <w:rPr>
          <w:rFonts w:ascii="Times New Roman" w:hAnsi="Times New Roman" w:cs="Times New Roman"/>
          <w:sz w:val="24"/>
          <w:szCs w:val="24"/>
        </w:rPr>
        <w:t>в Дисциплинарном комитете</w:t>
      </w:r>
      <w:r w:rsidR="000559CE" w:rsidRPr="00601AA3">
        <w:rPr>
          <w:rFonts w:ascii="Times New Roman" w:hAnsi="Times New Roman" w:cs="Times New Roman"/>
          <w:sz w:val="24"/>
          <w:szCs w:val="24"/>
        </w:rPr>
        <w:t xml:space="preserve"> НАУФОР</w:t>
      </w:r>
      <w:r w:rsidRPr="00601AA3">
        <w:rPr>
          <w:rFonts w:ascii="Times New Roman" w:hAnsi="Times New Roman" w:cs="Times New Roman"/>
          <w:sz w:val="24"/>
          <w:szCs w:val="24"/>
        </w:rPr>
        <w:t>.</w:t>
      </w:r>
    </w:p>
    <w:p w:rsidR="00957FF3" w:rsidRPr="00601AA3" w:rsidRDefault="00957FF3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</w:p>
    <w:p w:rsidR="00EF11C9" w:rsidRPr="00601AA3" w:rsidRDefault="000E2A44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i/>
          <w:sz w:val="24"/>
          <w:szCs w:val="24"/>
        </w:rPr>
      </w:pPr>
      <w:r w:rsidRPr="00601AA3">
        <w:rPr>
          <w:rFonts w:ascii="Times New Roman" w:hAnsi="Times New Roman" w:cs="Times New Roman"/>
          <w:i/>
          <w:sz w:val="24"/>
          <w:szCs w:val="24"/>
        </w:rPr>
        <w:t xml:space="preserve">Изменение </w:t>
      </w:r>
      <w:r w:rsidR="000559CE" w:rsidRPr="00601AA3">
        <w:rPr>
          <w:rFonts w:ascii="Times New Roman" w:hAnsi="Times New Roman" w:cs="Times New Roman"/>
          <w:i/>
          <w:sz w:val="24"/>
          <w:szCs w:val="24"/>
        </w:rPr>
        <w:t xml:space="preserve">размера членских </w:t>
      </w:r>
      <w:r w:rsidRPr="00601AA3">
        <w:rPr>
          <w:rFonts w:ascii="Times New Roman" w:hAnsi="Times New Roman" w:cs="Times New Roman"/>
          <w:i/>
          <w:sz w:val="24"/>
          <w:szCs w:val="24"/>
        </w:rPr>
        <w:t>в</w:t>
      </w:r>
      <w:r w:rsidR="00EF11C9" w:rsidRPr="00601AA3">
        <w:rPr>
          <w:rFonts w:ascii="Times New Roman" w:hAnsi="Times New Roman" w:cs="Times New Roman"/>
          <w:i/>
          <w:sz w:val="24"/>
          <w:szCs w:val="24"/>
        </w:rPr>
        <w:t>зно</w:t>
      </w:r>
      <w:r w:rsidR="00C5519C" w:rsidRPr="00601AA3">
        <w:rPr>
          <w:rFonts w:ascii="Times New Roman" w:hAnsi="Times New Roman" w:cs="Times New Roman"/>
          <w:i/>
          <w:sz w:val="24"/>
          <w:szCs w:val="24"/>
        </w:rPr>
        <w:t>с</w:t>
      </w:r>
      <w:r w:rsidRPr="00601AA3">
        <w:rPr>
          <w:rFonts w:ascii="Times New Roman" w:hAnsi="Times New Roman" w:cs="Times New Roman"/>
          <w:i/>
          <w:sz w:val="24"/>
          <w:szCs w:val="24"/>
        </w:rPr>
        <w:t>ов</w:t>
      </w:r>
    </w:p>
    <w:p w:rsidR="00D56C4F" w:rsidRPr="00601AA3" w:rsidRDefault="00D56C4F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</w:p>
    <w:p w:rsidR="00C5519C" w:rsidRPr="00601AA3" w:rsidRDefault="00C5519C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  <w:r w:rsidRPr="00601AA3">
        <w:rPr>
          <w:rFonts w:ascii="Times New Roman" w:hAnsi="Times New Roman" w:cs="Times New Roman"/>
          <w:sz w:val="24"/>
          <w:szCs w:val="24"/>
        </w:rPr>
        <w:t xml:space="preserve">В середине 2024 года </w:t>
      </w:r>
      <w:r w:rsidR="00D97A52" w:rsidRPr="00601AA3">
        <w:rPr>
          <w:rFonts w:ascii="Times New Roman" w:hAnsi="Times New Roman" w:cs="Times New Roman"/>
          <w:sz w:val="24"/>
          <w:szCs w:val="24"/>
        </w:rPr>
        <w:t>К</w:t>
      </w:r>
      <w:r w:rsidRPr="00601AA3">
        <w:rPr>
          <w:rFonts w:ascii="Times New Roman" w:hAnsi="Times New Roman" w:cs="Times New Roman"/>
          <w:sz w:val="24"/>
          <w:szCs w:val="24"/>
        </w:rPr>
        <w:t xml:space="preserve">омитетом </w:t>
      </w:r>
      <w:r w:rsidR="000559CE" w:rsidRPr="00601AA3">
        <w:rPr>
          <w:rFonts w:ascii="Times New Roman" w:hAnsi="Times New Roman" w:cs="Times New Roman"/>
          <w:sz w:val="24"/>
          <w:szCs w:val="24"/>
        </w:rPr>
        <w:t>С</w:t>
      </w:r>
      <w:r w:rsidRPr="00601AA3">
        <w:rPr>
          <w:rFonts w:ascii="Times New Roman" w:hAnsi="Times New Roman" w:cs="Times New Roman"/>
          <w:sz w:val="24"/>
          <w:szCs w:val="24"/>
        </w:rPr>
        <w:t xml:space="preserve">овета директоров </w:t>
      </w:r>
      <w:r w:rsidR="00D97A52" w:rsidRPr="00601AA3">
        <w:rPr>
          <w:rFonts w:ascii="Times New Roman" w:hAnsi="Times New Roman" w:cs="Times New Roman"/>
          <w:sz w:val="24"/>
          <w:szCs w:val="24"/>
        </w:rPr>
        <w:t xml:space="preserve">по бюджету </w:t>
      </w:r>
      <w:r w:rsidRPr="00601AA3">
        <w:rPr>
          <w:rFonts w:ascii="Times New Roman" w:hAnsi="Times New Roman" w:cs="Times New Roman"/>
          <w:sz w:val="24"/>
          <w:szCs w:val="24"/>
        </w:rPr>
        <w:t>было предложено увеличение взносов</w:t>
      </w:r>
      <w:r w:rsidR="007E6D2A" w:rsidRPr="00601AA3">
        <w:rPr>
          <w:rFonts w:ascii="Times New Roman" w:hAnsi="Times New Roman" w:cs="Times New Roman"/>
          <w:sz w:val="24"/>
          <w:szCs w:val="24"/>
        </w:rPr>
        <w:t xml:space="preserve">, направленное на обеспечение большей стабильности бюджета НАУФОР и </w:t>
      </w:r>
      <w:r w:rsidRPr="00601AA3">
        <w:rPr>
          <w:rFonts w:ascii="Times New Roman" w:hAnsi="Times New Roman" w:cs="Times New Roman"/>
          <w:sz w:val="24"/>
          <w:szCs w:val="24"/>
        </w:rPr>
        <w:t xml:space="preserve">отказ от финансирования в форме целевых взносов, которые уплачивались крупными участниками для реализации специальных проектов НАУФОР </w:t>
      </w:r>
      <w:r w:rsidRPr="00601AA3">
        <w:rPr>
          <w:rFonts w:ascii="Times New Roman" w:hAnsi="Times New Roman" w:cs="Times New Roman"/>
          <w:sz w:val="24"/>
          <w:szCs w:val="24"/>
        </w:rPr>
        <w:lastRenderedPageBreak/>
        <w:t xml:space="preserve">и поощрения его сотрудников. Новый вариант взносов предполагал значительное увеличение взносов для крупных компаний, для дифференциации управляющих компаний при </w:t>
      </w:r>
      <w:r w:rsidR="007E6D2A" w:rsidRPr="00601AA3">
        <w:rPr>
          <w:rFonts w:ascii="Times New Roman" w:hAnsi="Times New Roman" w:cs="Times New Roman"/>
          <w:sz w:val="24"/>
          <w:szCs w:val="24"/>
        </w:rPr>
        <w:t>э</w:t>
      </w:r>
      <w:r w:rsidRPr="00601AA3">
        <w:rPr>
          <w:rFonts w:ascii="Times New Roman" w:hAnsi="Times New Roman" w:cs="Times New Roman"/>
          <w:sz w:val="24"/>
          <w:szCs w:val="24"/>
        </w:rPr>
        <w:t xml:space="preserve">том вводился дополнительный критерий – сумма активов под управлением, и меньшее увеличение для остальных членов НАУФОР. В </w:t>
      </w:r>
      <w:r w:rsidR="000559CE" w:rsidRPr="00601AA3">
        <w:rPr>
          <w:rFonts w:ascii="Times New Roman" w:hAnsi="Times New Roman" w:cs="Times New Roman"/>
          <w:sz w:val="24"/>
          <w:szCs w:val="24"/>
        </w:rPr>
        <w:t>ноябре</w:t>
      </w:r>
      <w:r w:rsidRPr="00601AA3">
        <w:rPr>
          <w:rFonts w:ascii="Times New Roman" w:hAnsi="Times New Roman" w:cs="Times New Roman"/>
          <w:sz w:val="24"/>
          <w:szCs w:val="24"/>
        </w:rPr>
        <w:t xml:space="preserve"> </w:t>
      </w:r>
      <w:r w:rsidR="000559CE" w:rsidRPr="00601AA3">
        <w:rPr>
          <w:rFonts w:ascii="Times New Roman" w:hAnsi="Times New Roman" w:cs="Times New Roman"/>
          <w:sz w:val="24"/>
          <w:szCs w:val="24"/>
        </w:rPr>
        <w:t xml:space="preserve">2024 года </w:t>
      </w:r>
      <w:r w:rsidRPr="00601AA3">
        <w:rPr>
          <w:rFonts w:ascii="Times New Roman" w:hAnsi="Times New Roman" w:cs="Times New Roman"/>
          <w:sz w:val="24"/>
          <w:szCs w:val="24"/>
        </w:rPr>
        <w:t xml:space="preserve">новый вариант взносов был утвержден </w:t>
      </w:r>
      <w:r w:rsidR="000559CE" w:rsidRPr="00601AA3">
        <w:rPr>
          <w:rFonts w:ascii="Times New Roman" w:hAnsi="Times New Roman" w:cs="Times New Roman"/>
          <w:sz w:val="24"/>
          <w:szCs w:val="24"/>
        </w:rPr>
        <w:t>С</w:t>
      </w:r>
      <w:r w:rsidRPr="00601AA3">
        <w:rPr>
          <w:rFonts w:ascii="Times New Roman" w:hAnsi="Times New Roman" w:cs="Times New Roman"/>
          <w:sz w:val="24"/>
          <w:szCs w:val="24"/>
        </w:rPr>
        <w:t>оветом директоров</w:t>
      </w:r>
      <w:r w:rsidR="004013AF" w:rsidRPr="00601AA3">
        <w:rPr>
          <w:rFonts w:ascii="Times New Roman" w:hAnsi="Times New Roman" w:cs="Times New Roman"/>
          <w:sz w:val="24"/>
          <w:szCs w:val="24"/>
        </w:rPr>
        <w:t xml:space="preserve"> НАУФОР</w:t>
      </w:r>
      <w:r w:rsidRPr="00601AA3">
        <w:rPr>
          <w:rFonts w:ascii="Times New Roman" w:hAnsi="Times New Roman" w:cs="Times New Roman"/>
          <w:sz w:val="24"/>
          <w:szCs w:val="24"/>
        </w:rPr>
        <w:t xml:space="preserve">, а </w:t>
      </w:r>
      <w:r w:rsidR="000559CE" w:rsidRPr="00601AA3">
        <w:rPr>
          <w:rFonts w:ascii="Times New Roman" w:hAnsi="Times New Roman" w:cs="Times New Roman"/>
          <w:sz w:val="24"/>
          <w:szCs w:val="24"/>
        </w:rPr>
        <w:t>в декабре 2024 года</w:t>
      </w:r>
      <w:r w:rsidRPr="00601AA3">
        <w:rPr>
          <w:rFonts w:ascii="Times New Roman" w:hAnsi="Times New Roman" w:cs="Times New Roman"/>
          <w:sz w:val="24"/>
          <w:szCs w:val="24"/>
        </w:rPr>
        <w:t xml:space="preserve"> уточнен с учетом замечаний, поступивших от членов НАУФОР, </w:t>
      </w:r>
      <w:r w:rsidR="004013AF" w:rsidRPr="00601AA3">
        <w:rPr>
          <w:rFonts w:ascii="Times New Roman" w:hAnsi="Times New Roman" w:cs="Times New Roman"/>
          <w:sz w:val="24"/>
          <w:szCs w:val="24"/>
        </w:rPr>
        <w:br/>
      </w:r>
      <w:r w:rsidR="007E6D2A" w:rsidRPr="00601AA3">
        <w:rPr>
          <w:rFonts w:ascii="Times New Roman" w:hAnsi="Times New Roman" w:cs="Times New Roman"/>
          <w:sz w:val="24"/>
          <w:szCs w:val="24"/>
        </w:rPr>
        <w:t xml:space="preserve">с </w:t>
      </w:r>
      <w:r w:rsidRPr="00601AA3">
        <w:rPr>
          <w:rFonts w:ascii="Times New Roman" w:hAnsi="Times New Roman" w:cs="Times New Roman"/>
          <w:sz w:val="24"/>
          <w:szCs w:val="24"/>
        </w:rPr>
        <w:t>сохран</w:t>
      </w:r>
      <w:r w:rsidR="007E6D2A" w:rsidRPr="00601AA3">
        <w:rPr>
          <w:rFonts w:ascii="Times New Roman" w:hAnsi="Times New Roman" w:cs="Times New Roman"/>
          <w:sz w:val="24"/>
          <w:szCs w:val="24"/>
        </w:rPr>
        <w:t>ением общего подхода</w:t>
      </w:r>
      <w:r w:rsidRPr="00601AA3">
        <w:rPr>
          <w:rFonts w:ascii="Times New Roman" w:hAnsi="Times New Roman" w:cs="Times New Roman"/>
          <w:sz w:val="24"/>
          <w:szCs w:val="24"/>
        </w:rPr>
        <w:t>.</w:t>
      </w:r>
    </w:p>
    <w:p w:rsidR="00C5519C" w:rsidRPr="00601AA3" w:rsidRDefault="00C5519C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b/>
          <w:sz w:val="24"/>
          <w:szCs w:val="24"/>
        </w:rPr>
      </w:pPr>
    </w:p>
    <w:p w:rsidR="00EF11C9" w:rsidRPr="00601AA3" w:rsidRDefault="00960238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b/>
          <w:sz w:val="24"/>
          <w:szCs w:val="24"/>
        </w:rPr>
      </w:pPr>
      <w:r w:rsidRPr="00601AA3">
        <w:rPr>
          <w:rFonts w:ascii="Times New Roman" w:hAnsi="Times New Roman" w:cs="Times New Roman"/>
          <w:b/>
          <w:sz w:val="24"/>
          <w:szCs w:val="24"/>
        </w:rPr>
        <w:t>3.</w:t>
      </w:r>
      <w:r w:rsidR="009E155E" w:rsidRPr="00601A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38B2" w:rsidRPr="00601AA3">
        <w:rPr>
          <w:rFonts w:ascii="Times New Roman" w:hAnsi="Times New Roman" w:cs="Times New Roman"/>
          <w:b/>
          <w:sz w:val="24"/>
          <w:szCs w:val="24"/>
        </w:rPr>
        <w:t xml:space="preserve">Обжалование решений </w:t>
      </w:r>
      <w:r w:rsidR="009368F8" w:rsidRPr="00601AA3">
        <w:rPr>
          <w:rFonts w:ascii="Times New Roman" w:hAnsi="Times New Roman" w:cs="Times New Roman"/>
          <w:b/>
          <w:sz w:val="24"/>
          <w:szCs w:val="24"/>
        </w:rPr>
        <w:t>Дисциплинарного комитета</w:t>
      </w:r>
    </w:p>
    <w:p w:rsidR="009E155E" w:rsidRPr="00601AA3" w:rsidRDefault="009E155E" w:rsidP="00A77AB4">
      <w:pPr>
        <w:tabs>
          <w:tab w:val="left" w:pos="9071"/>
        </w:tabs>
        <w:spacing w:after="0" w:line="360" w:lineRule="auto"/>
        <w:ind w:right="284" w:firstLine="567"/>
        <w:rPr>
          <w:rFonts w:ascii="Times New Roman" w:hAnsi="Times New Roman" w:cs="Times New Roman"/>
          <w:sz w:val="24"/>
          <w:szCs w:val="24"/>
        </w:rPr>
      </w:pPr>
    </w:p>
    <w:p w:rsidR="00EF11C9" w:rsidRPr="00601AA3" w:rsidRDefault="007E6D2A" w:rsidP="00A77AB4">
      <w:pPr>
        <w:tabs>
          <w:tab w:val="left" w:pos="9071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01AA3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</w:t>
      </w:r>
      <w:r w:rsidR="004013AF" w:rsidRPr="00601AA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601A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="00960238" w:rsidRPr="00601AA3">
        <w:rPr>
          <w:rFonts w:ascii="Times New Roman" w:hAnsi="Times New Roman" w:cs="Times New Roman"/>
          <w:sz w:val="24"/>
          <w:szCs w:val="24"/>
        </w:rPr>
        <w:t>внутренним стандартом НАУФОР «Система мер воздействия и порядок их применения за несоблюдение членами НАУФОР требований базовых стандартов, внутренних стандартов и иных внутренних документов НАУФОР»</w:t>
      </w:r>
      <w:r w:rsidRPr="00601A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члены НАУФОР имеют право обжаловать решения Дисциплинарного комитета в </w:t>
      </w:r>
      <w:r w:rsidR="00960238" w:rsidRPr="00601AA3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01AA3">
        <w:rPr>
          <w:rFonts w:ascii="Times New Roman" w:hAnsi="Times New Roman" w:cs="Times New Roman"/>
          <w:color w:val="000000" w:themeColor="text1"/>
          <w:sz w:val="24"/>
          <w:szCs w:val="24"/>
        </w:rPr>
        <w:t>овет</w:t>
      </w:r>
      <w:r w:rsidR="004013AF" w:rsidRPr="00601AA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01A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директоров</w:t>
      </w:r>
      <w:r w:rsidR="00960238" w:rsidRPr="00601A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НАУФОР</w:t>
      </w:r>
      <w:r w:rsidRPr="00601A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 этом жалоба предварительно рассматривается специальным Комитетом </w:t>
      </w:r>
      <w:r w:rsidR="00960238" w:rsidRPr="00601AA3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01AA3">
        <w:rPr>
          <w:rFonts w:ascii="Times New Roman" w:hAnsi="Times New Roman" w:cs="Times New Roman"/>
          <w:color w:val="000000" w:themeColor="text1"/>
          <w:sz w:val="24"/>
          <w:szCs w:val="24"/>
        </w:rPr>
        <w:t>овета директоров</w:t>
      </w:r>
      <w:r w:rsidR="004013AF" w:rsidRPr="00601A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НАУФОР</w:t>
      </w:r>
      <w:r w:rsidRPr="00601A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который дает </w:t>
      </w:r>
      <w:r w:rsidR="00960238" w:rsidRPr="00601AA3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01AA3">
        <w:rPr>
          <w:rFonts w:ascii="Times New Roman" w:hAnsi="Times New Roman" w:cs="Times New Roman"/>
          <w:color w:val="000000" w:themeColor="text1"/>
          <w:sz w:val="24"/>
          <w:szCs w:val="24"/>
        </w:rPr>
        <w:t>овету директоров</w:t>
      </w:r>
      <w:r w:rsidR="004013AF" w:rsidRPr="00601A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A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свои рекомендации. В отчетный период решения Дисциплинарного комитета НАУФОР обжаловались в </w:t>
      </w:r>
      <w:r w:rsidR="00A8240F" w:rsidRPr="00601AA3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01AA3">
        <w:rPr>
          <w:rFonts w:ascii="Times New Roman" w:hAnsi="Times New Roman" w:cs="Times New Roman"/>
          <w:color w:val="000000" w:themeColor="text1"/>
          <w:sz w:val="24"/>
          <w:szCs w:val="24"/>
        </w:rPr>
        <w:t>овет</w:t>
      </w:r>
      <w:r w:rsidR="004013AF" w:rsidRPr="00601AA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01A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директоров </w:t>
      </w:r>
      <w:r w:rsidR="004013AF" w:rsidRPr="00601A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НАУФОР </w:t>
      </w:r>
      <w:r w:rsidRPr="00601AA3">
        <w:rPr>
          <w:rFonts w:ascii="Times New Roman" w:hAnsi="Times New Roman" w:cs="Times New Roman"/>
          <w:color w:val="000000" w:themeColor="text1"/>
          <w:sz w:val="24"/>
          <w:szCs w:val="24"/>
        </w:rPr>
        <w:t>четыре</w:t>
      </w:r>
      <w:r w:rsidR="00A8240F" w:rsidRPr="00601A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раза</w:t>
      </w:r>
      <w:r w:rsidRPr="00601AA3">
        <w:rPr>
          <w:rFonts w:ascii="Times New Roman" w:hAnsi="Times New Roman" w:cs="Times New Roman"/>
          <w:color w:val="000000" w:themeColor="text1"/>
          <w:sz w:val="24"/>
          <w:szCs w:val="24"/>
        </w:rPr>
        <w:t>. П</w:t>
      </w:r>
      <w:r w:rsidR="009E155E" w:rsidRPr="00601A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результатам рассмотрения </w:t>
      </w:r>
      <w:r w:rsidRPr="00601A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</w:t>
      </w:r>
      <w:r w:rsidR="009E155E" w:rsidRPr="00601A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решения </w:t>
      </w:r>
      <w:r w:rsidR="00A8240F" w:rsidRPr="00601A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Дисциплинарного комитета </w:t>
      </w:r>
      <w:r w:rsidR="009E155E" w:rsidRPr="00601AA3">
        <w:rPr>
          <w:rFonts w:ascii="Times New Roman" w:hAnsi="Times New Roman" w:cs="Times New Roman"/>
          <w:color w:val="000000" w:themeColor="text1"/>
          <w:sz w:val="24"/>
          <w:szCs w:val="24"/>
        </w:rPr>
        <w:t>остались без изменения.</w:t>
      </w:r>
    </w:p>
    <w:sectPr w:rsidR="00EF11C9" w:rsidRPr="00601AA3" w:rsidSect="00A77AB4">
      <w:headerReference w:type="even" r:id="rId10"/>
      <w:headerReference w:type="default" r:id="rId11"/>
      <w:footerReference w:type="default" r:id="rId12"/>
      <w:pgSz w:w="11906" w:h="16838" w:code="9"/>
      <w:pgMar w:top="851" w:right="1133" w:bottom="720" w:left="1418" w:header="5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E14" w:rsidRDefault="00110E14" w:rsidP="00763881">
      <w:pPr>
        <w:spacing w:after="0" w:line="240" w:lineRule="auto"/>
      </w:pPr>
      <w:r>
        <w:separator/>
      </w:r>
    </w:p>
  </w:endnote>
  <w:endnote w:type="continuationSeparator" w:id="0">
    <w:p w:rsidR="00110E14" w:rsidRDefault="00110E14" w:rsidP="00763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S Hauss Book">
    <w:panose1 w:val="02000000000000000000"/>
    <w:charset w:val="CC"/>
    <w:family w:val="auto"/>
    <w:pitch w:val="variable"/>
    <w:sig w:usb0="A00002FF" w:usb1="0000A47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186216594"/>
      <w:docPartObj>
        <w:docPartGallery w:val="Page Numbers (Bottom of Page)"/>
        <w:docPartUnique/>
      </w:docPartObj>
    </w:sdtPr>
    <w:sdtEndPr/>
    <w:sdtContent>
      <w:p w:rsidR="000E6B40" w:rsidRPr="00763881" w:rsidRDefault="000E6B40" w:rsidP="00E6738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638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6388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638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1F25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7638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E6B40" w:rsidRPr="00763881" w:rsidRDefault="000E6B40">
    <w:pPr>
      <w:pStyle w:val="a5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E14" w:rsidRDefault="00110E14" w:rsidP="00763881">
      <w:pPr>
        <w:spacing w:after="0" w:line="240" w:lineRule="auto"/>
      </w:pPr>
      <w:r>
        <w:separator/>
      </w:r>
    </w:p>
  </w:footnote>
  <w:footnote w:type="continuationSeparator" w:id="0">
    <w:p w:rsidR="00110E14" w:rsidRDefault="00110E14" w:rsidP="00763881">
      <w:pPr>
        <w:spacing w:after="0" w:line="240" w:lineRule="auto"/>
      </w:pPr>
      <w:r>
        <w:continuationSeparator/>
      </w:r>
    </w:p>
  </w:footnote>
  <w:footnote w:id="1">
    <w:p w:rsidR="00AA630C" w:rsidRPr="00960238" w:rsidRDefault="005807A4">
      <w:pPr>
        <w:pStyle w:val="ac"/>
        <w:rPr>
          <w:rFonts w:ascii="Times New Roman" w:hAnsi="Times New Roman" w:cs="Times New Roman"/>
        </w:rPr>
      </w:pPr>
      <w:r w:rsidRPr="00960238">
        <w:rPr>
          <w:rStyle w:val="ae"/>
          <w:rFonts w:ascii="Times New Roman" w:hAnsi="Times New Roman" w:cs="Times New Roman"/>
        </w:rPr>
        <w:footnoteRef/>
      </w:r>
      <w:r w:rsidR="00AA630C" w:rsidRPr="00960238">
        <w:rPr>
          <w:rFonts w:ascii="Times New Roman" w:hAnsi="Times New Roman" w:cs="Times New Roman"/>
        </w:rPr>
        <w:t xml:space="preserve"> </w:t>
      </w:r>
      <w:hyperlink r:id="rId1" w:history="1">
        <w:r w:rsidR="00AA630C" w:rsidRPr="00960238">
          <w:rPr>
            <w:rStyle w:val="af0"/>
            <w:rFonts w:ascii="Times New Roman" w:hAnsi="Times New Roman" w:cs="Times New Roman"/>
            <w:lang w:val="en-US"/>
          </w:rPr>
          <w:t>https</w:t>
        </w:r>
        <w:r w:rsidR="00AA630C" w:rsidRPr="00960238">
          <w:rPr>
            <w:rStyle w:val="af0"/>
            <w:rFonts w:ascii="Times New Roman" w:hAnsi="Times New Roman" w:cs="Times New Roman"/>
          </w:rPr>
          <w:t>://</w:t>
        </w:r>
        <w:r w:rsidR="00AA630C" w:rsidRPr="00960238">
          <w:rPr>
            <w:rStyle w:val="af0"/>
            <w:rFonts w:ascii="Times New Roman" w:hAnsi="Times New Roman" w:cs="Times New Roman"/>
            <w:lang w:val="en-US"/>
          </w:rPr>
          <w:t>naufor</w:t>
        </w:r>
        <w:r w:rsidR="00AA630C" w:rsidRPr="00960238">
          <w:rPr>
            <w:rStyle w:val="af0"/>
            <w:rFonts w:ascii="Times New Roman" w:hAnsi="Times New Roman" w:cs="Times New Roman"/>
          </w:rPr>
          <w:t>.</w:t>
        </w:r>
        <w:proofErr w:type="spellStart"/>
        <w:r w:rsidR="00AA630C" w:rsidRPr="00960238">
          <w:rPr>
            <w:rStyle w:val="af0"/>
            <w:rFonts w:ascii="Times New Roman" w:hAnsi="Times New Roman" w:cs="Times New Roman"/>
            <w:lang w:val="en-US"/>
          </w:rPr>
          <w:t>ru</w:t>
        </w:r>
        <w:proofErr w:type="spellEnd"/>
        <w:r w:rsidR="00AA630C" w:rsidRPr="00960238">
          <w:rPr>
            <w:rStyle w:val="af0"/>
            <w:rFonts w:ascii="Times New Roman" w:hAnsi="Times New Roman" w:cs="Times New Roman"/>
          </w:rPr>
          <w:t>/</w:t>
        </w:r>
        <w:r w:rsidR="00AA630C" w:rsidRPr="00960238">
          <w:rPr>
            <w:rStyle w:val="af0"/>
            <w:rFonts w:ascii="Times New Roman" w:hAnsi="Times New Roman" w:cs="Times New Roman"/>
            <w:lang w:val="en-US"/>
          </w:rPr>
          <w:t>tree</w:t>
        </w:r>
        <w:r w:rsidR="00AA630C" w:rsidRPr="00960238">
          <w:rPr>
            <w:rStyle w:val="af0"/>
            <w:rFonts w:ascii="Times New Roman" w:hAnsi="Times New Roman" w:cs="Times New Roman"/>
          </w:rPr>
          <w:t>.</w:t>
        </w:r>
        <w:r w:rsidR="00AA630C" w:rsidRPr="00960238">
          <w:rPr>
            <w:rStyle w:val="af0"/>
            <w:rFonts w:ascii="Times New Roman" w:hAnsi="Times New Roman" w:cs="Times New Roman"/>
            <w:lang w:val="en-US"/>
          </w:rPr>
          <w:t>asp</w:t>
        </w:r>
        <w:r w:rsidR="00AA630C" w:rsidRPr="00960238">
          <w:rPr>
            <w:rStyle w:val="af0"/>
            <w:rFonts w:ascii="Times New Roman" w:hAnsi="Times New Roman" w:cs="Times New Roman"/>
          </w:rPr>
          <w:t>?</w:t>
        </w:r>
        <w:r w:rsidR="00AA630C" w:rsidRPr="00960238">
          <w:rPr>
            <w:rStyle w:val="af0"/>
            <w:rFonts w:ascii="Times New Roman" w:hAnsi="Times New Roman" w:cs="Times New Roman"/>
            <w:lang w:val="en-US"/>
          </w:rPr>
          <w:t>n</w:t>
        </w:r>
        <w:r w:rsidR="00AA630C" w:rsidRPr="00960238">
          <w:rPr>
            <w:rStyle w:val="af0"/>
            <w:rFonts w:ascii="Times New Roman" w:hAnsi="Times New Roman" w:cs="Times New Roman"/>
          </w:rPr>
          <w:t>=29113</w:t>
        </w:r>
      </w:hyperlink>
    </w:p>
    <w:p w:rsidR="00AA630C" w:rsidRPr="00960238" w:rsidRDefault="00AA630C">
      <w:pPr>
        <w:pStyle w:val="ac"/>
        <w:rPr>
          <w:rFonts w:ascii="Times New Roman" w:hAnsi="Times New Roman" w:cs="Times New Roman"/>
        </w:rPr>
      </w:pPr>
    </w:p>
  </w:footnote>
  <w:footnote w:id="2">
    <w:p w:rsidR="007222B0" w:rsidRPr="00960238" w:rsidRDefault="007222B0" w:rsidP="007222B0">
      <w:pPr>
        <w:pStyle w:val="ac"/>
        <w:rPr>
          <w:rFonts w:ascii="Times New Roman" w:hAnsi="Times New Roman" w:cs="Times New Roman"/>
        </w:rPr>
      </w:pPr>
      <w:r w:rsidRPr="00960238">
        <w:rPr>
          <w:rStyle w:val="ae"/>
          <w:rFonts w:ascii="Times New Roman" w:hAnsi="Times New Roman" w:cs="Times New Roman"/>
        </w:rPr>
        <w:footnoteRef/>
      </w:r>
      <w:r w:rsidRPr="00960238">
        <w:rPr>
          <w:rFonts w:ascii="Times New Roman" w:hAnsi="Times New Roman" w:cs="Times New Roman"/>
        </w:rPr>
        <w:t xml:space="preserve"> ссылка будет добавлена после публикации Программы на сайте</w:t>
      </w:r>
    </w:p>
  </w:footnote>
  <w:footnote w:id="3">
    <w:p w:rsidR="00584906" w:rsidRPr="00960238" w:rsidRDefault="00584906" w:rsidP="00584906">
      <w:pPr>
        <w:pStyle w:val="ac"/>
        <w:rPr>
          <w:rFonts w:ascii="Times New Roman" w:hAnsi="Times New Roman" w:cs="Times New Roman"/>
        </w:rPr>
      </w:pPr>
      <w:r w:rsidRPr="00960238">
        <w:rPr>
          <w:rStyle w:val="ae"/>
          <w:rFonts w:ascii="Times New Roman" w:hAnsi="Times New Roman" w:cs="Times New Roman"/>
        </w:rPr>
        <w:footnoteRef/>
      </w:r>
      <w:r w:rsidRPr="00960238">
        <w:rPr>
          <w:rFonts w:ascii="Times New Roman" w:hAnsi="Times New Roman" w:cs="Times New Roman"/>
        </w:rPr>
        <w:t xml:space="preserve"> </w:t>
      </w:r>
      <w:hyperlink r:id="rId2" w:history="1">
        <w:r w:rsidRPr="00960238">
          <w:rPr>
            <w:rStyle w:val="af0"/>
            <w:rFonts w:ascii="Times New Roman" w:hAnsi="Times New Roman" w:cs="Times New Roman"/>
            <w:lang w:val="en-US"/>
          </w:rPr>
          <w:t>https</w:t>
        </w:r>
        <w:r w:rsidRPr="00960238">
          <w:rPr>
            <w:rStyle w:val="af0"/>
            <w:rFonts w:ascii="Times New Roman" w:hAnsi="Times New Roman" w:cs="Times New Roman"/>
          </w:rPr>
          <w:t>://</w:t>
        </w:r>
        <w:r w:rsidRPr="00960238">
          <w:rPr>
            <w:rStyle w:val="af0"/>
            <w:rFonts w:ascii="Times New Roman" w:hAnsi="Times New Roman" w:cs="Times New Roman"/>
            <w:lang w:val="en-US"/>
          </w:rPr>
          <w:t>naufor</w:t>
        </w:r>
        <w:r w:rsidRPr="00960238">
          <w:rPr>
            <w:rStyle w:val="af0"/>
            <w:rFonts w:ascii="Times New Roman" w:hAnsi="Times New Roman" w:cs="Times New Roman"/>
          </w:rPr>
          <w:t>.</w:t>
        </w:r>
        <w:proofErr w:type="spellStart"/>
        <w:r w:rsidRPr="00960238">
          <w:rPr>
            <w:rStyle w:val="af0"/>
            <w:rFonts w:ascii="Times New Roman" w:hAnsi="Times New Roman" w:cs="Times New Roman"/>
            <w:lang w:val="en-US"/>
          </w:rPr>
          <w:t>ru</w:t>
        </w:r>
        <w:proofErr w:type="spellEnd"/>
        <w:r w:rsidRPr="00960238">
          <w:rPr>
            <w:rStyle w:val="af0"/>
            <w:rFonts w:ascii="Times New Roman" w:hAnsi="Times New Roman" w:cs="Times New Roman"/>
          </w:rPr>
          <w:t>/</w:t>
        </w:r>
        <w:r w:rsidRPr="00960238">
          <w:rPr>
            <w:rStyle w:val="af0"/>
            <w:rFonts w:ascii="Times New Roman" w:hAnsi="Times New Roman" w:cs="Times New Roman"/>
            <w:lang w:val="en-US"/>
          </w:rPr>
          <w:t>tree</w:t>
        </w:r>
        <w:r w:rsidRPr="00960238">
          <w:rPr>
            <w:rStyle w:val="af0"/>
            <w:rFonts w:ascii="Times New Roman" w:hAnsi="Times New Roman" w:cs="Times New Roman"/>
          </w:rPr>
          <w:t>.</w:t>
        </w:r>
        <w:r w:rsidRPr="00960238">
          <w:rPr>
            <w:rStyle w:val="af0"/>
            <w:rFonts w:ascii="Times New Roman" w:hAnsi="Times New Roman" w:cs="Times New Roman"/>
            <w:lang w:val="en-US"/>
          </w:rPr>
          <w:t>asp</w:t>
        </w:r>
        <w:r w:rsidRPr="00960238">
          <w:rPr>
            <w:rStyle w:val="af0"/>
            <w:rFonts w:ascii="Times New Roman" w:hAnsi="Times New Roman" w:cs="Times New Roman"/>
          </w:rPr>
          <w:t>?</w:t>
        </w:r>
        <w:r w:rsidRPr="00960238">
          <w:rPr>
            <w:rStyle w:val="af0"/>
            <w:rFonts w:ascii="Times New Roman" w:hAnsi="Times New Roman" w:cs="Times New Roman"/>
            <w:lang w:val="en-US"/>
          </w:rPr>
          <w:t>n</w:t>
        </w:r>
        <w:r w:rsidRPr="00960238">
          <w:rPr>
            <w:rStyle w:val="af0"/>
            <w:rFonts w:ascii="Times New Roman" w:hAnsi="Times New Roman" w:cs="Times New Roman"/>
          </w:rPr>
          <w:t>=28677</w:t>
        </w:r>
      </w:hyperlink>
    </w:p>
  </w:footnote>
  <w:footnote w:id="4">
    <w:p w:rsidR="00584906" w:rsidRPr="00960238" w:rsidRDefault="00584906" w:rsidP="00584906">
      <w:pPr>
        <w:pStyle w:val="ac"/>
        <w:rPr>
          <w:rFonts w:ascii="Times New Roman" w:hAnsi="Times New Roman" w:cs="Times New Roman"/>
        </w:rPr>
      </w:pPr>
      <w:r w:rsidRPr="00960238">
        <w:rPr>
          <w:rStyle w:val="ae"/>
          <w:rFonts w:ascii="Times New Roman" w:hAnsi="Times New Roman" w:cs="Times New Roman"/>
        </w:rPr>
        <w:footnoteRef/>
      </w:r>
      <w:r w:rsidRPr="00960238">
        <w:rPr>
          <w:rFonts w:ascii="Times New Roman" w:hAnsi="Times New Roman" w:cs="Times New Roman"/>
        </w:rPr>
        <w:t xml:space="preserve"> </w:t>
      </w:r>
      <w:hyperlink r:id="rId3" w:history="1">
        <w:r w:rsidRPr="00960238">
          <w:rPr>
            <w:rStyle w:val="af0"/>
            <w:rFonts w:ascii="Times New Roman" w:hAnsi="Times New Roman" w:cs="Times New Roman"/>
            <w:lang w:val="en-US"/>
          </w:rPr>
          <w:t>https</w:t>
        </w:r>
        <w:r w:rsidRPr="00960238">
          <w:rPr>
            <w:rStyle w:val="af0"/>
            <w:rFonts w:ascii="Times New Roman" w:hAnsi="Times New Roman" w:cs="Times New Roman"/>
          </w:rPr>
          <w:t>://</w:t>
        </w:r>
        <w:r w:rsidRPr="00960238">
          <w:rPr>
            <w:rStyle w:val="af0"/>
            <w:rFonts w:ascii="Times New Roman" w:hAnsi="Times New Roman" w:cs="Times New Roman"/>
            <w:lang w:val="en-US"/>
          </w:rPr>
          <w:t>naufor</w:t>
        </w:r>
        <w:r w:rsidRPr="00960238">
          <w:rPr>
            <w:rStyle w:val="af0"/>
            <w:rFonts w:ascii="Times New Roman" w:hAnsi="Times New Roman" w:cs="Times New Roman"/>
          </w:rPr>
          <w:t>.</w:t>
        </w:r>
        <w:proofErr w:type="spellStart"/>
        <w:r w:rsidRPr="00960238">
          <w:rPr>
            <w:rStyle w:val="af0"/>
            <w:rFonts w:ascii="Times New Roman" w:hAnsi="Times New Roman" w:cs="Times New Roman"/>
            <w:lang w:val="en-US"/>
          </w:rPr>
          <w:t>ru</w:t>
        </w:r>
        <w:proofErr w:type="spellEnd"/>
        <w:r w:rsidRPr="00960238">
          <w:rPr>
            <w:rStyle w:val="af0"/>
            <w:rFonts w:ascii="Times New Roman" w:hAnsi="Times New Roman" w:cs="Times New Roman"/>
          </w:rPr>
          <w:t>/</w:t>
        </w:r>
        <w:r w:rsidRPr="00960238">
          <w:rPr>
            <w:rStyle w:val="af0"/>
            <w:rFonts w:ascii="Times New Roman" w:hAnsi="Times New Roman" w:cs="Times New Roman"/>
            <w:lang w:val="en-US"/>
          </w:rPr>
          <w:t>tree</w:t>
        </w:r>
        <w:r w:rsidRPr="00960238">
          <w:rPr>
            <w:rStyle w:val="af0"/>
            <w:rFonts w:ascii="Times New Roman" w:hAnsi="Times New Roman" w:cs="Times New Roman"/>
          </w:rPr>
          <w:t>.</w:t>
        </w:r>
        <w:r w:rsidRPr="00960238">
          <w:rPr>
            <w:rStyle w:val="af0"/>
            <w:rFonts w:ascii="Times New Roman" w:hAnsi="Times New Roman" w:cs="Times New Roman"/>
            <w:lang w:val="en-US"/>
          </w:rPr>
          <w:t>asp</w:t>
        </w:r>
        <w:r w:rsidRPr="00960238">
          <w:rPr>
            <w:rStyle w:val="af0"/>
            <w:rFonts w:ascii="Times New Roman" w:hAnsi="Times New Roman" w:cs="Times New Roman"/>
          </w:rPr>
          <w:t>?</w:t>
        </w:r>
        <w:r w:rsidRPr="00960238">
          <w:rPr>
            <w:rStyle w:val="af0"/>
            <w:rFonts w:ascii="Times New Roman" w:hAnsi="Times New Roman" w:cs="Times New Roman"/>
            <w:lang w:val="en-US"/>
          </w:rPr>
          <w:t>n</w:t>
        </w:r>
        <w:r w:rsidRPr="00960238">
          <w:rPr>
            <w:rStyle w:val="af0"/>
            <w:rFonts w:ascii="Times New Roman" w:hAnsi="Times New Roman" w:cs="Times New Roman"/>
          </w:rPr>
          <w:t>=28758</w:t>
        </w:r>
      </w:hyperlink>
    </w:p>
  </w:footnote>
  <w:footnote w:id="5">
    <w:p w:rsidR="00584906" w:rsidRPr="00960238" w:rsidRDefault="00584906" w:rsidP="00584906">
      <w:pPr>
        <w:pStyle w:val="ac"/>
        <w:rPr>
          <w:rFonts w:ascii="Times New Roman" w:hAnsi="Times New Roman" w:cs="Times New Roman"/>
        </w:rPr>
      </w:pPr>
      <w:r w:rsidRPr="00960238">
        <w:rPr>
          <w:rStyle w:val="ae"/>
          <w:rFonts w:ascii="Times New Roman" w:hAnsi="Times New Roman" w:cs="Times New Roman"/>
        </w:rPr>
        <w:footnoteRef/>
      </w:r>
      <w:r w:rsidRPr="00960238">
        <w:rPr>
          <w:rFonts w:ascii="Times New Roman" w:hAnsi="Times New Roman" w:cs="Times New Roman"/>
        </w:rPr>
        <w:t xml:space="preserve"> </w:t>
      </w:r>
      <w:hyperlink r:id="rId4" w:history="1">
        <w:r w:rsidRPr="00960238">
          <w:rPr>
            <w:rStyle w:val="af0"/>
            <w:rFonts w:ascii="Times New Roman" w:hAnsi="Times New Roman" w:cs="Times New Roman"/>
            <w:lang w:val="en-US"/>
          </w:rPr>
          <w:t>https</w:t>
        </w:r>
        <w:r w:rsidRPr="00960238">
          <w:rPr>
            <w:rStyle w:val="af0"/>
            <w:rFonts w:ascii="Times New Roman" w:hAnsi="Times New Roman" w:cs="Times New Roman"/>
          </w:rPr>
          <w:t>://</w:t>
        </w:r>
        <w:r w:rsidRPr="00960238">
          <w:rPr>
            <w:rStyle w:val="af0"/>
            <w:rFonts w:ascii="Times New Roman" w:hAnsi="Times New Roman" w:cs="Times New Roman"/>
            <w:lang w:val="en-US"/>
          </w:rPr>
          <w:t>naufor</w:t>
        </w:r>
        <w:r w:rsidRPr="00960238">
          <w:rPr>
            <w:rStyle w:val="af0"/>
            <w:rFonts w:ascii="Times New Roman" w:hAnsi="Times New Roman" w:cs="Times New Roman"/>
          </w:rPr>
          <w:t>.</w:t>
        </w:r>
        <w:proofErr w:type="spellStart"/>
        <w:r w:rsidRPr="00960238">
          <w:rPr>
            <w:rStyle w:val="af0"/>
            <w:rFonts w:ascii="Times New Roman" w:hAnsi="Times New Roman" w:cs="Times New Roman"/>
            <w:lang w:val="en-US"/>
          </w:rPr>
          <w:t>ru</w:t>
        </w:r>
        <w:proofErr w:type="spellEnd"/>
        <w:r w:rsidRPr="00960238">
          <w:rPr>
            <w:rStyle w:val="af0"/>
            <w:rFonts w:ascii="Times New Roman" w:hAnsi="Times New Roman" w:cs="Times New Roman"/>
          </w:rPr>
          <w:t>/</w:t>
        </w:r>
        <w:r w:rsidRPr="00960238">
          <w:rPr>
            <w:rStyle w:val="af0"/>
            <w:rFonts w:ascii="Times New Roman" w:hAnsi="Times New Roman" w:cs="Times New Roman"/>
            <w:lang w:val="en-US"/>
          </w:rPr>
          <w:t>tree</w:t>
        </w:r>
        <w:r w:rsidRPr="00960238">
          <w:rPr>
            <w:rStyle w:val="af0"/>
            <w:rFonts w:ascii="Times New Roman" w:hAnsi="Times New Roman" w:cs="Times New Roman"/>
          </w:rPr>
          <w:t>.</w:t>
        </w:r>
        <w:r w:rsidRPr="00960238">
          <w:rPr>
            <w:rStyle w:val="af0"/>
            <w:rFonts w:ascii="Times New Roman" w:hAnsi="Times New Roman" w:cs="Times New Roman"/>
            <w:lang w:val="en-US"/>
          </w:rPr>
          <w:t>asp</w:t>
        </w:r>
        <w:r w:rsidRPr="00960238">
          <w:rPr>
            <w:rStyle w:val="af0"/>
            <w:rFonts w:ascii="Times New Roman" w:hAnsi="Times New Roman" w:cs="Times New Roman"/>
          </w:rPr>
          <w:t>?</w:t>
        </w:r>
        <w:r w:rsidRPr="00960238">
          <w:rPr>
            <w:rStyle w:val="af0"/>
            <w:rFonts w:ascii="Times New Roman" w:hAnsi="Times New Roman" w:cs="Times New Roman"/>
            <w:lang w:val="en-US"/>
          </w:rPr>
          <w:t>n</w:t>
        </w:r>
        <w:r w:rsidRPr="00960238">
          <w:rPr>
            <w:rStyle w:val="af0"/>
            <w:rFonts w:ascii="Times New Roman" w:hAnsi="Times New Roman" w:cs="Times New Roman"/>
          </w:rPr>
          <w:t>=29860</w:t>
        </w:r>
      </w:hyperlink>
      <w:r w:rsidRPr="00960238">
        <w:rPr>
          <w:rStyle w:val="af0"/>
          <w:rFonts w:ascii="Times New Roman" w:hAnsi="Times New Roman" w:cs="Times New Roman"/>
        </w:rPr>
        <w:t xml:space="preserve"> </w:t>
      </w:r>
    </w:p>
  </w:footnote>
  <w:footnote w:id="6">
    <w:p w:rsidR="001A15F4" w:rsidRPr="00960238" w:rsidRDefault="001A15F4" w:rsidP="00774C03">
      <w:pPr>
        <w:pStyle w:val="ac"/>
        <w:spacing w:line="240" w:lineRule="atLeast"/>
        <w:rPr>
          <w:rFonts w:ascii="Times New Roman" w:hAnsi="Times New Roman" w:cs="Times New Roman"/>
        </w:rPr>
      </w:pPr>
      <w:r w:rsidRPr="00960238">
        <w:rPr>
          <w:rStyle w:val="ae"/>
          <w:rFonts w:ascii="Times New Roman" w:hAnsi="Times New Roman" w:cs="Times New Roman"/>
        </w:rPr>
        <w:footnoteRef/>
      </w:r>
      <w:r w:rsidRPr="00960238">
        <w:rPr>
          <w:rFonts w:ascii="Times New Roman" w:hAnsi="Times New Roman" w:cs="Times New Roman"/>
        </w:rPr>
        <w:t xml:space="preserve"> </w:t>
      </w:r>
      <w:hyperlink r:id="rId5" w:history="1">
        <w:r w:rsidRPr="00960238">
          <w:rPr>
            <w:rStyle w:val="af0"/>
            <w:rFonts w:ascii="Times New Roman" w:hAnsi="Times New Roman" w:cs="Times New Roman"/>
            <w:lang w:val="en-US"/>
          </w:rPr>
          <w:t>https</w:t>
        </w:r>
        <w:r w:rsidRPr="00960238">
          <w:rPr>
            <w:rStyle w:val="af0"/>
            <w:rFonts w:ascii="Times New Roman" w:hAnsi="Times New Roman" w:cs="Times New Roman"/>
          </w:rPr>
          <w:t>://</w:t>
        </w:r>
        <w:r w:rsidRPr="00960238">
          <w:rPr>
            <w:rStyle w:val="af0"/>
            <w:rFonts w:ascii="Times New Roman" w:hAnsi="Times New Roman" w:cs="Times New Roman"/>
            <w:lang w:val="en-US"/>
          </w:rPr>
          <w:t>naufor</w:t>
        </w:r>
        <w:r w:rsidRPr="00960238">
          <w:rPr>
            <w:rStyle w:val="af0"/>
            <w:rFonts w:ascii="Times New Roman" w:hAnsi="Times New Roman" w:cs="Times New Roman"/>
          </w:rPr>
          <w:t>.</w:t>
        </w:r>
        <w:proofErr w:type="spellStart"/>
        <w:r w:rsidRPr="00960238">
          <w:rPr>
            <w:rStyle w:val="af0"/>
            <w:rFonts w:ascii="Times New Roman" w:hAnsi="Times New Roman" w:cs="Times New Roman"/>
            <w:lang w:val="en-US"/>
          </w:rPr>
          <w:t>ru</w:t>
        </w:r>
        <w:proofErr w:type="spellEnd"/>
        <w:r w:rsidRPr="00960238">
          <w:rPr>
            <w:rStyle w:val="af0"/>
            <w:rFonts w:ascii="Times New Roman" w:hAnsi="Times New Roman" w:cs="Times New Roman"/>
          </w:rPr>
          <w:t>/</w:t>
        </w:r>
        <w:r w:rsidRPr="00960238">
          <w:rPr>
            <w:rStyle w:val="af0"/>
            <w:rFonts w:ascii="Times New Roman" w:hAnsi="Times New Roman" w:cs="Times New Roman"/>
            <w:lang w:val="en-US"/>
          </w:rPr>
          <w:t>tree</w:t>
        </w:r>
        <w:r w:rsidRPr="00960238">
          <w:rPr>
            <w:rStyle w:val="af0"/>
            <w:rFonts w:ascii="Times New Roman" w:hAnsi="Times New Roman" w:cs="Times New Roman"/>
          </w:rPr>
          <w:t>.</w:t>
        </w:r>
        <w:r w:rsidRPr="00960238">
          <w:rPr>
            <w:rStyle w:val="af0"/>
            <w:rFonts w:ascii="Times New Roman" w:hAnsi="Times New Roman" w:cs="Times New Roman"/>
            <w:lang w:val="en-US"/>
          </w:rPr>
          <w:t>asp</w:t>
        </w:r>
        <w:r w:rsidRPr="00960238">
          <w:rPr>
            <w:rStyle w:val="af0"/>
            <w:rFonts w:ascii="Times New Roman" w:hAnsi="Times New Roman" w:cs="Times New Roman"/>
          </w:rPr>
          <w:t>?</w:t>
        </w:r>
        <w:r w:rsidRPr="00960238">
          <w:rPr>
            <w:rStyle w:val="af0"/>
            <w:rFonts w:ascii="Times New Roman" w:hAnsi="Times New Roman" w:cs="Times New Roman"/>
            <w:lang w:val="en-US"/>
          </w:rPr>
          <w:t>n</w:t>
        </w:r>
        <w:r w:rsidRPr="00960238">
          <w:rPr>
            <w:rStyle w:val="af0"/>
            <w:rFonts w:ascii="Times New Roman" w:hAnsi="Times New Roman" w:cs="Times New Roman"/>
          </w:rPr>
          <w:t>=27767</w:t>
        </w:r>
      </w:hyperlink>
    </w:p>
  </w:footnote>
  <w:footnote w:id="7">
    <w:p w:rsidR="00D42004" w:rsidRPr="00F97832" w:rsidRDefault="00D42004" w:rsidP="00D42004">
      <w:pPr>
        <w:pStyle w:val="ac"/>
        <w:spacing w:line="240" w:lineRule="atLeast"/>
        <w:rPr>
          <w:rStyle w:val="af0"/>
          <w:rFonts w:ascii="Times New Roman" w:hAnsi="Times New Roman" w:cs="Times New Roman"/>
        </w:rPr>
      </w:pPr>
      <w:r w:rsidRPr="00960238">
        <w:rPr>
          <w:rStyle w:val="ae"/>
          <w:rFonts w:ascii="Times New Roman" w:hAnsi="Times New Roman" w:cs="Times New Roman"/>
        </w:rPr>
        <w:footnoteRef/>
      </w:r>
      <w:r w:rsidRPr="00F97832">
        <w:rPr>
          <w:rFonts w:ascii="Times New Roman" w:hAnsi="Times New Roman" w:cs="Times New Roman"/>
        </w:rPr>
        <w:t xml:space="preserve"> </w:t>
      </w:r>
      <w:hyperlink r:id="rId6" w:history="1">
        <w:r w:rsidRPr="00960238">
          <w:rPr>
            <w:rStyle w:val="af0"/>
            <w:rFonts w:ascii="Times New Roman" w:hAnsi="Times New Roman" w:cs="Times New Roman"/>
            <w:lang w:val="en-US"/>
          </w:rPr>
          <w:t>https</w:t>
        </w:r>
        <w:r w:rsidRPr="00F97832">
          <w:rPr>
            <w:rStyle w:val="af0"/>
            <w:rFonts w:ascii="Times New Roman" w:hAnsi="Times New Roman" w:cs="Times New Roman"/>
          </w:rPr>
          <w:t>://</w:t>
        </w:r>
        <w:r w:rsidRPr="00960238">
          <w:rPr>
            <w:rStyle w:val="af0"/>
            <w:rFonts w:ascii="Times New Roman" w:hAnsi="Times New Roman" w:cs="Times New Roman"/>
            <w:lang w:val="en-US"/>
          </w:rPr>
          <w:t>naufor</w:t>
        </w:r>
        <w:r w:rsidRPr="00F97832">
          <w:rPr>
            <w:rStyle w:val="af0"/>
            <w:rFonts w:ascii="Times New Roman" w:hAnsi="Times New Roman" w:cs="Times New Roman"/>
          </w:rPr>
          <w:t>.</w:t>
        </w:r>
        <w:proofErr w:type="spellStart"/>
        <w:r w:rsidRPr="00960238">
          <w:rPr>
            <w:rStyle w:val="af0"/>
            <w:rFonts w:ascii="Times New Roman" w:hAnsi="Times New Roman" w:cs="Times New Roman"/>
            <w:lang w:val="en-US"/>
          </w:rPr>
          <w:t>ru</w:t>
        </w:r>
        <w:proofErr w:type="spellEnd"/>
        <w:r w:rsidRPr="00F97832">
          <w:rPr>
            <w:rStyle w:val="af0"/>
            <w:rFonts w:ascii="Times New Roman" w:hAnsi="Times New Roman" w:cs="Times New Roman"/>
          </w:rPr>
          <w:t>/</w:t>
        </w:r>
        <w:r w:rsidRPr="00960238">
          <w:rPr>
            <w:rStyle w:val="af0"/>
            <w:rFonts w:ascii="Times New Roman" w:hAnsi="Times New Roman" w:cs="Times New Roman"/>
            <w:lang w:val="en-US"/>
          </w:rPr>
          <w:t>tree</w:t>
        </w:r>
        <w:r w:rsidRPr="00F97832">
          <w:rPr>
            <w:rStyle w:val="af0"/>
            <w:rFonts w:ascii="Times New Roman" w:hAnsi="Times New Roman" w:cs="Times New Roman"/>
          </w:rPr>
          <w:t>.</w:t>
        </w:r>
        <w:r w:rsidRPr="00960238">
          <w:rPr>
            <w:rStyle w:val="af0"/>
            <w:rFonts w:ascii="Times New Roman" w:hAnsi="Times New Roman" w:cs="Times New Roman"/>
            <w:lang w:val="en-US"/>
          </w:rPr>
          <w:t>asp</w:t>
        </w:r>
        <w:r w:rsidRPr="00F97832">
          <w:rPr>
            <w:rStyle w:val="af0"/>
            <w:rFonts w:ascii="Times New Roman" w:hAnsi="Times New Roman" w:cs="Times New Roman"/>
          </w:rPr>
          <w:t>?</w:t>
        </w:r>
        <w:r w:rsidRPr="00960238">
          <w:rPr>
            <w:rStyle w:val="af0"/>
            <w:rFonts w:ascii="Times New Roman" w:hAnsi="Times New Roman" w:cs="Times New Roman"/>
            <w:lang w:val="en-US"/>
          </w:rPr>
          <w:t>n</w:t>
        </w:r>
        <w:r w:rsidRPr="00F97832">
          <w:rPr>
            <w:rStyle w:val="af0"/>
            <w:rFonts w:ascii="Times New Roman" w:hAnsi="Times New Roman" w:cs="Times New Roman"/>
          </w:rPr>
          <w:t>=30037</w:t>
        </w:r>
      </w:hyperlink>
    </w:p>
    <w:p w:rsidR="00D42004" w:rsidRPr="00F97832" w:rsidRDefault="00D42004" w:rsidP="00D42004">
      <w:pPr>
        <w:pStyle w:val="ac"/>
        <w:rPr>
          <w:rFonts w:ascii="Times New Roman" w:hAnsi="Times New Roman" w:cs="Times New Roman"/>
        </w:rPr>
      </w:pPr>
    </w:p>
  </w:footnote>
  <w:footnote w:id="8">
    <w:p w:rsidR="00EF11C9" w:rsidRPr="00F97832" w:rsidRDefault="00EF11C9" w:rsidP="00EF11C9">
      <w:pPr>
        <w:pStyle w:val="ac"/>
        <w:rPr>
          <w:rFonts w:ascii="Times New Roman" w:hAnsi="Times New Roman" w:cs="Times New Roman"/>
        </w:rPr>
      </w:pPr>
      <w:r w:rsidRPr="00960238">
        <w:rPr>
          <w:rStyle w:val="ae"/>
          <w:rFonts w:ascii="Times New Roman" w:hAnsi="Times New Roman" w:cs="Times New Roman"/>
        </w:rPr>
        <w:footnoteRef/>
      </w:r>
      <w:r w:rsidRPr="00F97832">
        <w:rPr>
          <w:rFonts w:ascii="Times New Roman" w:hAnsi="Times New Roman" w:cs="Times New Roman"/>
        </w:rPr>
        <w:t xml:space="preserve"> </w:t>
      </w:r>
      <w:hyperlink r:id="rId7" w:history="1">
        <w:r w:rsidRPr="00960238">
          <w:rPr>
            <w:rStyle w:val="af0"/>
            <w:rFonts w:ascii="Times New Roman" w:hAnsi="Times New Roman" w:cs="Times New Roman"/>
            <w:lang w:val="en-US"/>
          </w:rPr>
          <w:t>https</w:t>
        </w:r>
        <w:r w:rsidRPr="00F97832">
          <w:rPr>
            <w:rStyle w:val="af0"/>
            <w:rFonts w:ascii="Times New Roman" w:hAnsi="Times New Roman" w:cs="Times New Roman"/>
          </w:rPr>
          <w:t>://</w:t>
        </w:r>
        <w:r w:rsidRPr="00960238">
          <w:rPr>
            <w:rStyle w:val="af0"/>
            <w:rFonts w:ascii="Times New Roman" w:hAnsi="Times New Roman" w:cs="Times New Roman"/>
            <w:lang w:val="en-US"/>
          </w:rPr>
          <w:t>naufor</w:t>
        </w:r>
        <w:r w:rsidRPr="00F97832">
          <w:rPr>
            <w:rStyle w:val="af0"/>
            <w:rFonts w:ascii="Times New Roman" w:hAnsi="Times New Roman" w:cs="Times New Roman"/>
          </w:rPr>
          <w:t>.</w:t>
        </w:r>
        <w:proofErr w:type="spellStart"/>
        <w:r w:rsidRPr="00960238">
          <w:rPr>
            <w:rStyle w:val="af0"/>
            <w:rFonts w:ascii="Times New Roman" w:hAnsi="Times New Roman" w:cs="Times New Roman"/>
            <w:lang w:val="en-US"/>
          </w:rPr>
          <w:t>ru</w:t>
        </w:r>
        <w:proofErr w:type="spellEnd"/>
        <w:r w:rsidRPr="00F97832">
          <w:rPr>
            <w:rStyle w:val="af0"/>
            <w:rFonts w:ascii="Times New Roman" w:hAnsi="Times New Roman" w:cs="Times New Roman"/>
          </w:rPr>
          <w:t>/</w:t>
        </w:r>
        <w:r w:rsidRPr="00960238">
          <w:rPr>
            <w:rStyle w:val="af0"/>
            <w:rFonts w:ascii="Times New Roman" w:hAnsi="Times New Roman" w:cs="Times New Roman"/>
            <w:lang w:val="en-US"/>
          </w:rPr>
          <w:t>tree</w:t>
        </w:r>
        <w:r w:rsidRPr="00F97832">
          <w:rPr>
            <w:rStyle w:val="af0"/>
            <w:rFonts w:ascii="Times New Roman" w:hAnsi="Times New Roman" w:cs="Times New Roman"/>
          </w:rPr>
          <w:t>.</w:t>
        </w:r>
        <w:r w:rsidRPr="00960238">
          <w:rPr>
            <w:rStyle w:val="af0"/>
            <w:rFonts w:ascii="Times New Roman" w:hAnsi="Times New Roman" w:cs="Times New Roman"/>
            <w:lang w:val="en-US"/>
          </w:rPr>
          <w:t>asp</w:t>
        </w:r>
        <w:r w:rsidRPr="00F97832">
          <w:rPr>
            <w:rStyle w:val="af0"/>
            <w:rFonts w:ascii="Times New Roman" w:hAnsi="Times New Roman" w:cs="Times New Roman"/>
          </w:rPr>
          <w:t>?</w:t>
        </w:r>
        <w:r w:rsidRPr="00960238">
          <w:rPr>
            <w:rStyle w:val="af0"/>
            <w:rFonts w:ascii="Times New Roman" w:hAnsi="Times New Roman" w:cs="Times New Roman"/>
            <w:lang w:val="en-US"/>
          </w:rPr>
          <w:t>n</w:t>
        </w:r>
        <w:r w:rsidRPr="00F97832">
          <w:rPr>
            <w:rStyle w:val="af0"/>
            <w:rFonts w:ascii="Times New Roman" w:hAnsi="Times New Roman" w:cs="Times New Roman"/>
          </w:rPr>
          <w:t>=25538</w:t>
        </w:r>
      </w:hyperlink>
      <w:r w:rsidRPr="00F97832">
        <w:rPr>
          <w:rFonts w:ascii="Times New Roman" w:hAnsi="Times New Roman" w:cs="Times New Roman"/>
        </w:rPr>
        <w:t xml:space="preserve"> </w:t>
      </w:r>
    </w:p>
  </w:footnote>
  <w:footnote w:id="9">
    <w:p w:rsidR="00EF11C9" w:rsidRPr="00960238" w:rsidRDefault="00EF11C9" w:rsidP="00EF11C9">
      <w:pPr>
        <w:pStyle w:val="ac"/>
        <w:rPr>
          <w:rFonts w:ascii="Times New Roman" w:hAnsi="Times New Roman" w:cs="Times New Roman"/>
        </w:rPr>
      </w:pPr>
      <w:r w:rsidRPr="00960238">
        <w:rPr>
          <w:rStyle w:val="ae"/>
          <w:rFonts w:ascii="Times New Roman" w:hAnsi="Times New Roman" w:cs="Times New Roman"/>
        </w:rPr>
        <w:footnoteRef/>
      </w:r>
      <w:r w:rsidRPr="00960238">
        <w:rPr>
          <w:rFonts w:ascii="Times New Roman" w:hAnsi="Times New Roman" w:cs="Times New Roman"/>
        </w:rPr>
        <w:t xml:space="preserve"> </w:t>
      </w:r>
      <w:hyperlink r:id="rId8" w:history="1">
        <w:r w:rsidRPr="00960238">
          <w:rPr>
            <w:rStyle w:val="af0"/>
            <w:rFonts w:ascii="Times New Roman" w:hAnsi="Times New Roman" w:cs="Times New Roman"/>
          </w:rPr>
          <w:t>https://naufor.ru/tree.asp?n=29394</w:t>
        </w:r>
      </w:hyperlink>
      <w:r w:rsidRPr="00960238">
        <w:rPr>
          <w:rFonts w:ascii="Times New Roman" w:hAnsi="Times New Roman" w:cs="Times New Roman"/>
        </w:rPr>
        <w:t xml:space="preserve"> </w:t>
      </w:r>
    </w:p>
  </w:footnote>
  <w:footnote w:id="10">
    <w:p w:rsidR="00960238" w:rsidRPr="00960238" w:rsidRDefault="00960238">
      <w:pPr>
        <w:pStyle w:val="ac"/>
        <w:rPr>
          <w:rFonts w:ascii="Times New Roman" w:hAnsi="Times New Roman" w:cs="Times New Roman"/>
        </w:rPr>
      </w:pPr>
      <w:r w:rsidRPr="00960238">
        <w:rPr>
          <w:rStyle w:val="ae"/>
          <w:rFonts w:ascii="Times New Roman" w:hAnsi="Times New Roman" w:cs="Times New Roman"/>
        </w:rPr>
        <w:footnoteRef/>
      </w:r>
      <w:r w:rsidRPr="00960238">
        <w:rPr>
          <w:rFonts w:ascii="Times New Roman" w:hAnsi="Times New Roman" w:cs="Times New Roman"/>
        </w:rPr>
        <w:t xml:space="preserve"> </w:t>
      </w:r>
      <w:hyperlink r:id="rId9" w:history="1">
        <w:r w:rsidRPr="00E93506">
          <w:rPr>
            <w:rStyle w:val="af0"/>
            <w:rFonts w:ascii="Times New Roman" w:hAnsi="Times New Roman" w:cs="Times New Roman"/>
          </w:rPr>
          <w:t>https://naufor.ru/tree.asp?n=18464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11">
    <w:p w:rsidR="00960238" w:rsidRPr="00960238" w:rsidRDefault="00960238">
      <w:pPr>
        <w:pStyle w:val="ac"/>
        <w:rPr>
          <w:rFonts w:ascii="Times New Roman" w:hAnsi="Times New Roman" w:cs="Times New Roman"/>
        </w:rPr>
      </w:pPr>
      <w:r w:rsidRPr="00960238">
        <w:rPr>
          <w:rStyle w:val="ae"/>
          <w:rFonts w:ascii="Times New Roman" w:hAnsi="Times New Roman" w:cs="Times New Roman"/>
        </w:rPr>
        <w:footnoteRef/>
      </w:r>
      <w:r w:rsidRPr="00960238">
        <w:rPr>
          <w:rFonts w:ascii="Times New Roman" w:hAnsi="Times New Roman" w:cs="Times New Roman"/>
        </w:rPr>
        <w:t xml:space="preserve"> </w:t>
      </w:r>
      <w:hyperlink r:id="rId10" w:history="1">
        <w:r w:rsidRPr="00E93506">
          <w:rPr>
            <w:rStyle w:val="af0"/>
            <w:rFonts w:ascii="Times New Roman" w:hAnsi="Times New Roman" w:cs="Times New Roman"/>
          </w:rPr>
          <w:t>http://naufor.ru/tree.asp?n=30086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12">
    <w:p w:rsidR="000559CE" w:rsidRPr="00960238" w:rsidRDefault="000559CE">
      <w:pPr>
        <w:pStyle w:val="ac"/>
        <w:rPr>
          <w:rFonts w:ascii="Times New Roman" w:hAnsi="Times New Roman" w:cs="Times New Roman"/>
        </w:rPr>
      </w:pPr>
      <w:r w:rsidRPr="00960238">
        <w:rPr>
          <w:rStyle w:val="ae"/>
          <w:rFonts w:ascii="Times New Roman" w:hAnsi="Times New Roman" w:cs="Times New Roman"/>
        </w:rPr>
        <w:footnoteRef/>
      </w:r>
      <w:r w:rsidRPr="00960238">
        <w:rPr>
          <w:rFonts w:ascii="Times New Roman" w:hAnsi="Times New Roman" w:cs="Times New Roman"/>
        </w:rPr>
        <w:t xml:space="preserve"> </w:t>
      </w:r>
      <w:hyperlink r:id="rId11" w:history="1">
        <w:r w:rsidRPr="00960238">
          <w:rPr>
            <w:rStyle w:val="af0"/>
            <w:rFonts w:ascii="Times New Roman" w:hAnsi="Times New Roman" w:cs="Times New Roman"/>
          </w:rPr>
          <w:t>https://naufor.ru/tree.asp?n=4195</w:t>
        </w:r>
      </w:hyperlink>
      <w:r w:rsidRPr="00960238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B40" w:rsidRDefault="00615FD4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6609715" cy="685800"/>
              <wp:effectExtent l="0" t="0" r="19685" b="190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971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6B40" w:rsidRPr="0088180E" w:rsidRDefault="000E6B40" w:rsidP="00A77AB4">
                          <w:pPr>
                            <w:spacing w:after="0" w:line="240" w:lineRule="auto"/>
                            <w:ind w:firstLine="5670"/>
                            <w:rPr>
                              <w:rFonts w:ascii="ALS Hauss Book" w:hAnsi="ALS Hauss Book"/>
                              <w:b/>
                              <w:sz w:val="16"/>
                              <w:szCs w:val="16"/>
                            </w:rPr>
                          </w:pPr>
                          <w:r w:rsidRPr="00403732">
                            <w:rPr>
                              <w:rFonts w:ascii="ALS Hauss Book" w:hAnsi="ALS Hauss Book"/>
                              <w:b/>
                              <w:sz w:val="16"/>
                              <w:szCs w:val="16"/>
                            </w:rPr>
                            <w:t>Отчет Совета директоров НАУФОР</w:t>
                          </w:r>
                          <w:r>
                            <w:rPr>
                              <w:rFonts w:ascii="ALS Hauss Book" w:hAnsi="ALS Hauss Book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03732">
                            <w:rPr>
                              <w:rFonts w:ascii="ALS Hauss Book" w:hAnsi="ALS Hauss Book"/>
                              <w:b/>
                              <w:sz w:val="16"/>
                              <w:szCs w:val="16"/>
                            </w:rPr>
                            <w:t xml:space="preserve">за </w:t>
                          </w:r>
                          <w:r w:rsidR="00961FE1">
                            <w:rPr>
                              <w:rFonts w:ascii="ALS Hauss Book" w:hAnsi="ALS Hauss Book"/>
                              <w:b/>
                              <w:sz w:val="16"/>
                              <w:szCs w:val="16"/>
                            </w:rPr>
                            <w:t>202</w:t>
                          </w:r>
                          <w:r w:rsidR="0012059F">
                            <w:rPr>
                              <w:rFonts w:ascii="ALS Hauss Book" w:hAnsi="ALS Hauss Book"/>
                              <w:b/>
                              <w:sz w:val="16"/>
                              <w:szCs w:val="16"/>
                            </w:rPr>
                            <w:t>4</w:t>
                          </w:r>
                          <w:r w:rsidRPr="00403732">
                            <w:rPr>
                              <w:rFonts w:ascii="ALS Hauss Book" w:hAnsi="ALS Hauss Book"/>
                              <w:b/>
                              <w:sz w:val="16"/>
                              <w:szCs w:val="16"/>
                            </w:rPr>
                            <w:t xml:space="preserve"> год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2.15pt;width:520.45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" strokecolor="white [3212]">
              <v:textbox>
                <w:txbxContent>
                  <w:p w:rsidR="000E6B40" w:rsidRPr="0088180E" w:rsidRDefault="000E6B40" w:rsidP="00A77AB4">
                    <w:pPr>
                      <w:spacing w:after="0" w:line="240" w:lineRule="auto"/>
                      <w:ind w:firstLine="5670"/>
                      <w:rPr>
                        <w:rFonts w:ascii="ALS Hauss Book" w:hAnsi="ALS Hauss Book"/>
                        <w:b/>
                        <w:sz w:val="16"/>
                        <w:szCs w:val="16"/>
                      </w:rPr>
                    </w:pPr>
                    <w:r w:rsidRPr="00403732">
                      <w:rPr>
                        <w:rFonts w:ascii="ALS Hauss Book" w:hAnsi="ALS Hauss Book"/>
                        <w:b/>
                        <w:sz w:val="16"/>
                        <w:szCs w:val="16"/>
                      </w:rPr>
                      <w:t>Отчет Совета директоров НАУФОР</w:t>
                    </w:r>
                    <w:r>
                      <w:rPr>
                        <w:rFonts w:ascii="ALS Hauss Book" w:hAnsi="ALS Hauss Book"/>
                        <w:b/>
                        <w:sz w:val="16"/>
                        <w:szCs w:val="16"/>
                      </w:rPr>
                      <w:t xml:space="preserve"> </w:t>
                    </w:r>
                    <w:r w:rsidRPr="00403732">
                      <w:rPr>
                        <w:rFonts w:ascii="ALS Hauss Book" w:hAnsi="ALS Hauss Book"/>
                        <w:b/>
                        <w:sz w:val="16"/>
                        <w:szCs w:val="16"/>
                      </w:rPr>
                      <w:t xml:space="preserve">за </w:t>
                    </w:r>
                    <w:r w:rsidR="00961FE1">
                      <w:rPr>
                        <w:rFonts w:ascii="ALS Hauss Book" w:hAnsi="ALS Hauss Book"/>
                        <w:b/>
                        <w:sz w:val="16"/>
                        <w:szCs w:val="16"/>
                      </w:rPr>
                      <w:t>202</w:t>
                    </w:r>
                    <w:r w:rsidR="0012059F">
                      <w:rPr>
                        <w:rFonts w:ascii="ALS Hauss Book" w:hAnsi="ALS Hauss Book"/>
                        <w:b/>
                        <w:sz w:val="16"/>
                        <w:szCs w:val="16"/>
                      </w:rPr>
                      <w:t>4</w:t>
                    </w:r>
                    <w:r w:rsidRPr="00403732">
                      <w:rPr>
                        <w:rFonts w:ascii="ALS Hauss Book" w:hAnsi="ALS Hauss Book"/>
                        <w:b/>
                        <w:sz w:val="16"/>
                        <w:szCs w:val="16"/>
                      </w:rPr>
                      <w:t xml:space="preserve"> год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B40" w:rsidRPr="00C83CCD" w:rsidRDefault="00615FD4" w:rsidP="00C83CCD">
    <w:pPr>
      <w:pStyle w:val="a3"/>
      <w:jc w:val="center"/>
      <w:rPr>
        <w:b/>
        <w:color w:val="C6D9F1" w:themeColor="text2" w:themeTint="33"/>
        <w:sz w:val="32"/>
        <w:lang w:val="en-US"/>
      </w:rPr>
    </w:pPr>
    <w:r>
      <w:rPr>
        <w:b/>
        <w:noProof/>
        <w:color w:val="C6D9F1" w:themeColor="text2" w:themeTint="33"/>
        <w:sz w:val="32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-26670</wp:posOffset>
              </wp:positionV>
              <wp:extent cx="6743065" cy="683260"/>
              <wp:effectExtent l="0" t="0" r="19685" b="21590"/>
              <wp:wrapNone/>
              <wp:docPr id="1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3065" cy="683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6B40" w:rsidRPr="007B1C53" w:rsidRDefault="000E6B40" w:rsidP="0088180E">
                          <w:pPr>
                            <w:spacing w:after="0" w:line="240" w:lineRule="auto"/>
                            <w:rPr>
                              <w:rFonts w:ascii="ALS Hauss Book" w:hAnsi="ALS Hauss Book"/>
                              <w:szCs w:val="16"/>
                            </w:rPr>
                          </w:pPr>
                          <w:r w:rsidRPr="007B1C53">
                            <w:rPr>
                              <w:rFonts w:ascii="ALS Hauss Book" w:hAnsi="ALS Hauss Book"/>
                              <w:szCs w:val="16"/>
                            </w:rPr>
                            <w:t xml:space="preserve">НАУФОР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left:0;text-align:left;margin-left:.75pt;margin-top:-2.1pt;width:530.95pt;height:53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" strokecolor="white [3212]">
              <v:textbox>
                <w:txbxContent>
                  <w:p w:rsidR="000E6B40" w:rsidRPr="007B1C53" w:rsidRDefault="000E6B40" w:rsidP="0088180E">
                    <w:pPr>
                      <w:spacing w:after="0" w:line="240" w:lineRule="auto"/>
                      <w:rPr>
                        <w:rFonts w:ascii="ALS Hauss Book" w:hAnsi="ALS Hauss Book"/>
                        <w:szCs w:val="16"/>
                      </w:rPr>
                    </w:pPr>
                    <w:r w:rsidRPr="007B1C53">
                      <w:rPr>
                        <w:rFonts w:ascii="ALS Hauss Book" w:hAnsi="ALS Hauss Book"/>
                        <w:szCs w:val="16"/>
                      </w:rPr>
                      <w:t xml:space="preserve">НАУФОР </w:t>
                    </w:r>
                  </w:p>
                </w:txbxContent>
              </v:textbox>
            </v:shape>
          </w:pict>
        </mc:Fallback>
      </mc:AlternateContent>
    </w:r>
  </w:p>
  <w:p w:rsidR="000E6B40" w:rsidRPr="00C83CCD" w:rsidRDefault="000E6B40" w:rsidP="00C83CCD">
    <w:pPr>
      <w:pStyle w:val="a3"/>
      <w:jc w:val="center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45B14"/>
    <w:multiLevelType w:val="hybridMultilevel"/>
    <w:tmpl w:val="A4C20FA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8C15340"/>
    <w:multiLevelType w:val="hybridMultilevel"/>
    <w:tmpl w:val="21841442"/>
    <w:lvl w:ilvl="0" w:tplc="2E142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FA5422F"/>
    <w:multiLevelType w:val="hybridMultilevel"/>
    <w:tmpl w:val="7414B71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EC61FC"/>
    <w:multiLevelType w:val="hybridMultilevel"/>
    <w:tmpl w:val="9FEE15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C5046"/>
    <w:multiLevelType w:val="hybridMultilevel"/>
    <w:tmpl w:val="9084BD0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B747E2"/>
    <w:multiLevelType w:val="hybridMultilevel"/>
    <w:tmpl w:val="EE5A825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36197F"/>
    <w:multiLevelType w:val="hybridMultilevel"/>
    <w:tmpl w:val="1FA2FFA6"/>
    <w:lvl w:ilvl="0" w:tplc="0722E43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9F23F12"/>
    <w:multiLevelType w:val="hybridMultilevel"/>
    <w:tmpl w:val="200CD388"/>
    <w:lvl w:ilvl="0" w:tplc="71149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EB32B92"/>
    <w:multiLevelType w:val="hybridMultilevel"/>
    <w:tmpl w:val="751AD2DA"/>
    <w:lvl w:ilvl="0" w:tplc="17B6E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65ED6"/>
    <w:multiLevelType w:val="hybridMultilevel"/>
    <w:tmpl w:val="E2D0D1D0"/>
    <w:lvl w:ilvl="0" w:tplc="CF207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70E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987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9CF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D21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6C7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DE2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4AF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D80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A8467A5"/>
    <w:multiLevelType w:val="hybridMultilevel"/>
    <w:tmpl w:val="84A64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8746C"/>
    <w:multiLevelType w:val="hybridMultilevel"/>
    <w:tmpl w:val="53D2F53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3E166A"/>
    <w:multiLevelType w:val="hybridMultilevel"/>
    <w:tmpl w:val="85268E3E"/>
    <w:lvl w:ilvl="0" w:tplc="025867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97D4675"/>
    <w:multiLevelType w:val="hybridMultilevel"/>
    <w:tmpl w:val="F8EACE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63BF7"/>
    <w:multiLevelType w:val="hybridMultilevel"/>
    <w:tmpl w:val="644055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12965"/>
    <w:multiLevelType w:val="hybridMultilevel"/>
    <w:tmpl w:val="54A21DDC"/>
    <w:lvl w:ilvl="0" w:tplc="D604CF5E">
      <w:start w:val="1"/>
      <w:numFmt w:val="decimal"/>
      <w:lvlText w:val="%1)"/>
      <w:lvlJc w:val="left"/>
      <w:pPr>
        <w:ind w:left="720" w:hanging="360"/>
      </w:pPr>
      <w:rPr>
        <w:rFonts w:ascii="Courier New CYR" w:eastAsiaTheme="minorHAnsi" w:hAnsi="Courier New CYR" w:cs="Courier New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A440B"/>
    <w:multiLevelType w:val="hybridMultilevel"/>
    <w:tmpl w:val="BA22231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FBB1858"/>
    <w:multiLevelType w:val="hybridMultilevel"/>
    <w:tmpl w:val="C248D902"/>
    <w:lvl w:ilvl="0" w:tplc="97CCFE6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23B0589"/>
    <w:multiLevelType w:val="hybridMultilevel"/>
    <w:tmpl w:val="271E1C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B7A50"/>
    <w:multiLevelType w:val="hybridMultilevel"/>
    <w:tmpl w:val="43B8791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A35172C"/>
    <w:multiLevelType w:val="hybridMultilevel"/>
    <w:tmpl w:val="864EE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21"/>
  </w:num>
  <w:num w:numId="5">
    <w:abstractNumId w:val="6"/>
  </w:num>
  <w:num w:numId="6">
    <w:abstractNumId w:val="4"/>
  </w:num>
  <w:num w:numId="7">
    <w:abstractNumId w:val="13"/>
  </w:num>
  <w:num w:numId="8">
    <w:abstractNumId w:val="0"/>
  </w:num>
  <w:num w:numId="9">
    <w:abstractNumId w:val="10"/>
  </w:num>
  <w:num w:numId="10">
    <w:abstractNumId w:val="22"/>
  </w:num>
  <w:num w:numId="11">
    <w:abstractNumId w:val="17"/>
  </w:num>
  <w:num w:numId="12">
    <w:abstractNumId w:val="5"/>
  </w:num>
  <w:num w:numId="13">
    <w:abstractNumId w:val="20"/>
  </w:num>
  <w:num w:numId="14">
    <w:abstractNumId w:val="16"/>
  </w:num>
  <w:num w:numId="15">
    <w:abstractNumId w:val="15"/>
  </w:num>
  <w:num w:numId="16">
    <w:abstractNumId w:val="11"/>
  </w:num>
  <w:num w:numId="17">
    <w:abstractNumId w:val="2"/>
  </w:num>
  <w:num w:numId="18">
    <w:abstractNumId w:val="1"/>
  </w:num>
  <w:num w:numId="19">
    <w:abstractNumId w:val="9"/>
  </w:num>
  <w:num w:numId="20">
    <w:abstractNumId w:val="8"/>
  </w:num>
  <w:num w:numId="21">
    <w:abstractNumId w:val="3"/>
  </w:num>
  <w:num w:numId="22">
    <w:abstractNumId w:val="1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357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54"/>
    <w:rsid w:val="00001A9D"/>
    <w:rsid w:val="00012F7A"/>
    <w:rsid w:val="00026E65"/>
    <w:rsid w:val="0003101D"/>
    <w:rsid w:val="000431E2"/>
    <w:rsid w:val="000559CE"/>
    <w:rsid w:val="0006416B"/>
    <w:rsid w:val="00064B5E"/>
    <w:rsid w:val="00064E4D"/>
    <w:rsid w:val="00067ADF"/>
    <w:rsid w:val="000707B6"/>
    <w:rsid w:val="0007138E"/>
    <w:rsid w:val="0008013C"/>
    <w:rsid w:val="0008048A"/>
    <w:rsid w:val="00082F96"/>
    <w:rsid w:val="00085C40"/>
    <w:rsid w:val="00085C50"/>
    <w:rsid w:val="00087E04"/>
    <w:rsid w:val="0009045C"/>
    <w:rsid w:val="00095168"/>
    <w:rsid w:val="00095176"/>
    <w:rsid w:val="00096769"/>
    <w:rsid w:val="000A049B"/>
    <w:rsid w:val="000A399F"/>
    <w:rsid w:val="000B52DF"/>
    <w:rsid w:val="000C479B"/>
    <w:rsid w:val="000D4744"/>
    <w:rsid w:val="000D79F3"/>
    <w:rsid w:val="000E0AA1"/>
    <w:rsid w:val="000E2A44"/>
    <w:rsid w:val="000E6B40"/>
    <w:rsid w:val="000F0AA5"/>
    <w:rsid w:val="00104B73"/>
    <w:rsid w:val="00106669"/>
    <w:rsid w:val="00110E14"/>
    <w:rsid w:val="0012059F"/>
    <w:rsid w:val="00123135"/>
    <w:rsid w:val="0013193E"/>
    <w:rsid w:val="00142139"/>
    <w:rsid w:val="00142C1F"/>
    <w:rsid w:val="0014518A"/>
    <w:rsid w:val="00150270"/>
    <w:rsid w:val="001545CF"/>
    <w:rsid w:val="00161CED"/>
    <w:rsid w:val="001636DB"/>
    <w:rsid w:val="00165CA7"/>
    <w:rsid w:val="001674A8"/>
    <w:rsid w:val="00171629"/>
    <w:rsid w:val="001752AA"/>
    <w:rsid w:val="00180F06"/>
    <w:rsid w:val="00181ABC"/>
    <w:rsid w:val="00181C07"/>
    <w:rsid w:val="00186403"/>
    <w:rsid w:val="00187666"/>
    <w:rsid w:val="00190E77"/>
    <w:rsid w:val="0019581D"/>
    <w:rsid w:val="001A0340"/>
    <w:rsid w:val="001A1147"/>
    <w:rsid w:val="001A15F4"/>
    <w:rsid w:val="001A34C3"/>
    <w:rsid w:val="001B7770"/>
    <w:rsid w:val="001D4D88"/>
    <w:rsid w:val="001D7681"/>
    <w:rsid w:val="001E39F8"/>
    <w:rsid w:val="001F5588"/>
    <w:rsid w:val="001F67E3"/>
    <w:rsid w:val="002027C0"/>
    <w:rsid w:val="002112EA"/>
    <w:rsid w:val="00214E19"/>
    <w:rsid w:val="002202BC"/>
    <w:rsid w:val="00232383"/>
    <w:rsid w:val="0023371D"/>
    <w:rsid w:val="0023534B"/>
    <w:rsid w:val="00240E0D"/>
    <w:rsid w:val="00246502"/>
    <w:rsid w:val="00246682"/>
    <w:rsid w:val="00247285"/>
    <w:rsid w:val="00247CE2"/>
    <w:rsid w:val="00257715"/>
    <w:rsid w:val="002752F6"/>
    <w:rsid w:val="0028014A"/>
    <w:rsid w:val="002802BD"/>
    <w:rsid w:val="00286BD1"/>
    <w:rsid w:val="00297770"/>
    <w:rsid w:val="002A0FF4"/>
    <w:rsid w:val="002A19F0"/>
    <w:rsid w:val="002A1A9E"/>
    <w:rsid w:val="002A6044"/>
    <w:rsid w:val="002A7692"/>
    <w:rsid w:val="002B0964"/>
    <w:rsid w:val="002B2A89"/>
    <w:rsid w:val="002B68E8"/>
    <w:rsid w:val="002B7069"/>
    <w:rsid w:val="002C0215"/>
    <w:rsid w:val="002E36A1"/>
    <w:rsid w:val="002E511F"/>
    <w:rsid w:val="002E6F50"/>
    <w:rsid w:val="002F6D13"/>
    <w:rsid w:val="00302D39"/>
    <w:rsid w:val="00310127"/>
    <w:rsid w:val="0031158F"/>
    <w:rsid w:val="003244DD"/>
    <w:rsid w:val="00330572"/>
    <w:rsid w:val="00333937"/>
    <w:rsid w:val="00336C12"/>
    <w:rsid w:val="0034102B"/>
    <w:rsid w:val="00342D73"/>
    <w:rsid w:val="00355119"/>
    <w:rsid w:val="0035644D"/>
    <w:rsid w:val="003620E7"/>
    <w:rsid w:val="00363742"/>
    <w:rsid w:val="00367434"/>
    <w:rsid w:val="00375FB7"/>
    <w:rsid w:val="00376CB1"/>
    <w:rsid w:val="0038404E"/>
    <w:rsid w:val="00391969"/>
    <w:rsid w:val="00391CED"/>
    <w:rsid w:val="003953E0"/>
    <w:rsid w:val="003964DA"/>
    <w:rsid w:val="003A0727"/>
    <w:rsid w:val="003B60B2"/>
    <w:rsid w:val="003B6653"/>
    <w:rsid w:val="003C171E"/>
    <w:rsid w:val="003C1FA5"/>
    <w:rsid w:val="003C5BA2"/>
    <w:rsid w:val="003D147D"/>
    <w:rsid w:val="003D2CC0"/>
    <w:rsid w:val="003E3EA0"/>
    <w:rsid w:val="003E6C2C"/>
    <w:rsid w:val="003F2B9A"/>
    <w:rsid w:val="00400253"/>
    <w:rsid w:val="004013AF"/>
    <w:rsid w:val="004022EA"/>
    <w:rsid w:val="00403732"/>
    <w:rsid w:val="0042239E"/>
    <w:rsid w:val="00430F7C"/>
    <w:rsid w:val="00432D90"/>
    <w:rsid w:val="00434F64"/>
    <w:rsid w:val="00436518"/>
    <w:rsid w:val="0043656C"/>
    <w:rsid w:val="00446681"/>
    <w:rsid w:val="00446B3E"/>
    <w:rsid w:val="00447A9A"/>
    <w:rsid w:val="00452741"/>
    <w:rsid w:val="00461A54"/>
    <w:rsid w:val="0046636D"/>
    <w:rsid w:val="0047545F"/>
    <w:rsid w:val="004822F9"/>
    <w:rsid w:val="004841DE"/>
    <w:rsid w:val="00486CFC"/>
    <w:rsid w:val="00490B20"/>
    <w:rsid w:val="00492CFC"/>
    <w:rsid w:val="004A5087"/>
    <w:rsid w:val="004B2C73"/>
    <w:rsid w:val="004B50D9"/>
    <w:rsid w:val="004B57A5"/>
    <w:rsid w:val="004B5EC5"/>
    <w:rsid w:val="004C0F8A"/>
    <w:rsid w:val="004D2291"/>
    <w:rsid w:val="004D354E"/>
    <w:rsid w:val="004E3811"/>
    <w:rsid w:val="004F2F32"/>
    <w:rsid w:val="004F7D34"/>
    <w:rsid w:val="00502054"/>
    <w:rsid w:val="00524363"/>
    <w:rsid w:val="005266B0"/>
    <w:rsid w:val="005275C2"/>
    <w:rsid w:val="005300DF"/>
    <w:rsid w:val="00531288"/>
    <w:rsid w:val="00535285"/>
    <w:rsid w:val="0053763A"/>
    <w:rsid w:val="00540629"/>
    <w:rsid w:val="00556313"/>
    <w:rsid w:val="0057151F"/>
    <w:rsid w:val="005735FF"/>
    <w:rsid w:val="005807A4"/>
    <w:rsid w:val="005818D0"/>
    <w:rsid w:val="00584901"/>
    <w:rsid w:val="00584906"/>
    <w:rsid w:val="00587DD6"/>
    <w:rsid w:val="00590418"/>
    <w:rsid w:val="00596BDA"/>
    <w:rsid w:val="005A18EB"/>
    <w:rsid w:val="005A1C81"/>
    <w:rsid w:val="005A2E24"/>
    <w:rsid w:val="005B0FFC"/>
    <w:rsid w:val="005B2911"/>
    <w:rsid w:val="005C043F"/>
    <w:rsid w:val="005C677F"/>
    <w:rsid w:val="005D0E51"/>
    <w:rsid w:val="005E0178"/>
    <w:rsid w:val="005E1B40"/>
    <w:rsid w:val="005F143C"/>
    <w:rsid w:val="005F6CD5"/>
    <w:rsid w:val="00601AA3"/>
    <w:rsid w:val="00605762"/>
    <w:rsid w:val="006108FA"/>
    <w:rsid w:val="00612658"/>
    <w:rsid w:val="00615FD4"/>
    <w:rsid w:val="006212AB"/>
    <w:rsid w:val="00624024"/>
    <w:rsid w:val="00634170"/>
    <w:rsid w:val="00634DFC"/>
    <w:rsid w:val="00637564"/>
    <w:rsid w:val="00656A8F"/>
    <w:rsid w:val="006674BD"/>
    <w:rsid w:val="00667D24"/>
    <w:rsid w:val="006719D0"/>
    <w:rsid w:val="00671A77"/>
    <w:rsid w:val="00675C97"/>
    <w:rsid w:val="0067695E"/>
    <w:rsid w:val="00687863"/>
    <w:rsid w:val="00691F35"/>
    <w:rsid w:val="0069238A"/>
    <w:rsid w:val="006A61E7"/>
    <w:rsid w:val="006A68C8"/>
    <w:rsid w:val="006B6761"/>
    <w:rsid w:val="006D0BD5"/>
    <w:rsid w:val="006F5C41"/>
    <w:rsid w:val="006F7C81"/>
    <w:rsid w:val="007006A2"/>
    <w:rsid w:val="00706C87"/>
    <w:rsid w:val="007076C4"/>
    <w:rsid w:val="007154CE"/>
    <w:rsid w:val="007222B0"/>
    <w:rsid w:val="007350A6"/>
    <w:rsid w:val="007356FF"/>
    <w:rsid w:val="00751C61"/>
    <w:rsid w:val="007540A8"/>
    <w:rsid w:val="00755260"/>
    <w:rsid w:val="00761E23"/>
    <w:rsid w:val="00763881"/>
    <w:rsid w:val="00763A53"/>
    <w:rsid w:val="0076707B"/>
    <w:rsid w:val="00772B8C"/>
    <w:rsid w:val="00774C03"/>
    <w:rsid w:val="0078654E"/>
    <w:rsid w:val="00796DE5"/>
    <w:rsid w:val="007A1240"/>
    <w:rsid w:val="007A53F0"/>
    <w:rsid w:val="007B1C53"/>
    <w:rsid w:val="007B3B8B"/>
    <w:rsid w:val="007C3F0B"/>
    <w:rsid w:val="007D0772"/>
    <w:rsid w:val="007D0938"/>
    <w:rsid w:val="007D1219"/>
    <w:rsid w:val="007D7D38"/>
    <w:rsid w:val="007E6D2A"/>
    <w:rsid w:val="007F0F18"/>
    <w:rsid w:val="007F5563"/>
    <w:rsid w:val="00826CDA"/>
    <w:rsid w:val="00831D75"/>
    <w:rsid w:val="008438B2"/>
    <w:rsid w:val="00847B24"/>
    <w:rsid w:val="008524CA"/>
    <w:rsid w:val="00857AD5"/>
    <w:rsid w:val="008604CF"/>
    <w:rsid w:val="00860BBB"/>
    <w:rsid w:val="00862680"/>
    <w:rsid w:val="00863D62"/>
    <w:rsid w:val="008729F7"/>
    <w:rsid w:val="0088180E"/>
    <w:rsid w:val="00882A24"/>
    <w:rsid w:val="00887D39"/>
    <w:rsid w:val="00896D3E"/>
    <w:rsid w:val="008B0AEC"/>
    <w:rsid w:val="008B377C"/>
    <w:rsid w:val="008E19E3"/>
    <w:rsid w:val="008F0A4C"/>
    <w:rsid w:val="008F12B0"/>
    <w:rsid w:val="008F6A83"/>
    <w:rsid w:val="00900D84"/>
    <w:rsid w:val="00904738"/>
    <w:rsid w:val="009264D0"/>
    <w:rsid w:val="00931AB8"/>
    <w:rsid w:val="009337C7"/>
    <w:rsid w:val="009368F8"/>
    <w:rsid w:val="00940C15"/>
    <w:rsid w:val="00941A33"/>
    <w:rsid w:val="00951AF2"/>
    <w:rsid w:val="00954948"/>
    <w:rsid w:val="00954A34"/>
    <w:rsid w:val="00956609"/>
    <w:rsid w:val="00957FF3"/>
    <w:rsid w:val="00960215"/>
    <w:rsid w:val="00960238"/>
    <w:rsid w:val="00961FE1"/>
    <w:rsid w:val="009651E6"/>
    <w:rsid w:val="009669E6"/>
    <w:rsid w:val="00967125"/>
    <w:rsid w:val="0097126C"/>
    <w:rsid w:val="009744F9"/>
    <w:rsid w:val="009763C2"/>
    <w:rsid w:val="009773E4"/>
    <w:rsid w:val="009949DF"/>
    <w:rsid w:val="009C7860"/>
    <w:rsid w:val="009D43D6"/>
    <w:rsid w:val="009E0EAF"/>
    <w:rsid w:val="009E10D2"/>
    <w:rsid w:val="009E155E"/>
    <w:rsid w:val="009E432A"/>
    <w:rsid w:val="009E4740"/>
    <w:rsid w:val="009F0798"/>
    <w:rsid w:val="009F3877"/>
    <w:rsid w:val="009F50F5"/>
    <w:rsid w:val="009F599D"/>
    <w:rsid w:val="009F5B20"/>
    <w:rsid w:val="009F5FB5"/>
    <w:rsid w:val="009F6AF5"/>
    <w:rsid w:val="00A0324D"/>
    <w:rsid w:val="00A14AFE"/>
    <w:rsid w:val="00A16272"/>
    <w:rsid w:val="00A2255A"/>
    <w:rsid w:val="00A5443D"/>
    <w:rsid w:val="00A60432"/>
    <w:rsid w:val="00A60A20"/>
    <w:rsid w:val="00A640BA"/>
    <w:rsid w:val="00A65A49"/>
    <w:rsid w:val="00A67DA3"/>
    <w:rsid w:val="00A74B9C"/>
    <w:rsid w:val="00A77AB4"/>
    <w:rsid w:val="00A8162D"/>
    <w:rsid w:val="00A8240F"/>
    <w:rsid w:val="00A86144"/>
    <w:rsid w:val="00A91893"/>
    <w:rsid w:val="00AA2655"/>
    <w:rsid w:val="00AA630C"/>
    <w:rsid w:val="00AB18A4"/>
    <w:rsid w:val="00AC7104"/>
    <w:rsid w:val="00AD5126"/>
    <w:rsid w:val="00AE4FC9"/>
    <w:rsid w:val="00B0057D"/>
    <w:rsid w:val="00B00EA9"/>
    <w:rsid w:val="00B1004B"/>
    <w:rsid w:val="00B179B6"/>
    <w:rsid w:val="00B30B84"/>
    <w:rsid w:val="00B358FF"/>
    <w:rsid w:val="00B41246"/>
    <w:rsid w:val="00B45ADA"/>
    <w:rsid w:val="00B50714"/>
    <w:rsid w:val="00B52706"/>
    <w:rsid w:val="00B63873"/>
    <w:rsid w:val="00B6528B"/>
    <w:rsid w:val="00B74F78"/>
    <w:rsid w:val="00B77560"/>
    <w:rsid w:val="00B82CDC"/>
    <w:rsid w:val="00B83EE9"/>
    <w:rsid w:val="00BA77B4"/>
    <w:rsid w:val="00BB23D4"/>
    <w:rsid w:val="00BB506D"/>
    <w:rsid w:val="00BC3D20"/>
    <w:rsid w:val="00BC5958"/>
    <w:rsid w:val="00BC7B8F"/>
    <w:rsid w:val="00BD1F25"/>
    <w:rsid w:val="00BD520B"/>
    <w:rsid w:val="00BE1BED"/>
    <w:rsid w:val="00BE66A1"/>
    <w:rsid w:val="00BF05F6"/>
    <w:rsid w:val="00BF064B"/>
    <w:rsid w:val="00BF089E"/>
    <w:rsid w:val="00BF1BF4"/>
    <w:rsid w:val="00BF21EA"/>
    <w:rsid w:val="00C03D9A"/>
    <w:rsid w:val="00C262BA"/>
    <w:rsid w:val="00C26FFB"/>
    <w:rsid w:val="00C3110E"/>
    <w:rsid w:val="00C31D12"/>
    <w:rsid w:val="00C34CE9"/>
    <w:rsid w:val="00C363E6"/>
    <w:rsid w:val="00C440AE"/>
    <w:rsid w:val="00C54E96"/>
    <w:rsid w:val="00C5519C"/>
    <w:rsid w:val="00C56734"/>
    <w:rsid w:val="00C6659E"/>
    <w:rsid w:val="00C70594"/>
    <w:rsid w:val="00C71756"/>
    <w:rsid w:val="00C81A0D"/>
    <w:rsid w:val="00C82F3B"/>
    <w:rsid w:val="00C83CCD"/>
    <w:rsid w:val="00C83DE1"/>
    <w:rsid w:val="00C877CE"/>
    <w:rsid w:val="00C90B0E"/>
    <w:rsid w:val="00C9246C"/>
    <w:rsid w:val="00CA259C"/>
    <w:rsid w:val="00CA478A"/>
    <w:rsid w:val="00CA7E17"/>
    <w:rsid w:val="00CB42C6"/>
    <w:rsid w:val="00CB72FC"/>
    <w:rsid w:val="00CC4949"/>
    <w:rsid w:val="00CD0003"/>
    <w:rsid w:val="00CE060C"/>
    <w:rsid w:val="00CE4863"/>
    <w:rsid w:val="00CE7EC2"/>
    <w:rsid w:val="00CF56D7"/>
    <w:rsid w:val="00CF6912"/>
    <w:rsid w:val="00D028CC"/>
    <w:rsid w:val="00D038FA"/>
    <w:rsid w:val="00D04874"/>
    <w:rsid w:val="00D1099B"/>
    <w:rsid w:val="00D15CBC"/>
    <w:rsid w:val="00D33E78"/>
    <w:rsid w:val="00D41379"/>
    <w:rsid w:val="00D42004"/>
    <w:rsid w:val="00D4477B"/>
    <w:rsid w:val="00D45743"/>
    <w:rsid w:val="00D46DE1"/>
    <w:rsid w:val="00D56C4F"/>
    <w:rsid w:val="00D57282"/>
    <w:rsid w:val="00D6069E"/>
    <w:rsid w:val="00D6279F"/>
    <w:rsid w:val="00D66CC0"/>
    <w:rsid w:val="00D74BDD"/>
    <w:rsid w:val="00D844BB"/>
    <w:rsid w:val="00D97A52"/>
    <w:rsid w:val="00DA640A"/>
    <w:rsid w:val="00DB2861"/>
    <w:rsid w:val="00DB5423"/>
    <w:rsid w:val="00DB66A0"/>
    <w:rsid w:val="00DC0AF7"/>
    <w:rsid w:val="00DC37B4"/>
    <w:rsid w:val="00DC3EEA"/>
    <w:rsid w:val="00DC614B"/>
    <w:rsid w:val="00DD7EB2"/>
    <w:rsid w:val="00DE085B"/>
    <w:rsid w:val="00DE5934"/>
    <w:rsid w:val="00DF6050"/>
    <w:rsid w:val="00E01907"/>
    <w:rsid w:val="00E01B16"/>
    <w:rsid w:val="00E035FF"/>
    <w:rsid w:val="00E04504"/>
    <w:rsid w:val="00E10DB9"/>
    <w:rsid w:val="00E12614"/>
    <w:rsid w:val="00E13747"/>
    <w:rsid w:val="00E15730"/>
    <w:rsid w:val="00E17801"/>
    <w:rsid w:val="00E26A83"/>
    <w:rsid w:val="00E271A4"/>
    <w:rsid w:val="00E37637"/>
    <w:rsid w:val="00E422AC"/>
    <w:rsid w:val="00E62075"/>
    <w:rsid w:val="00E659C9"/>
    <w:rsid w:val="00E65BF8"/>
    <w:rsid w:val="00E67381"/>
    <w:rsid w:val="00E70FCD"/>
    <w:rsid w:val="00E74190"/>
    <w:rsid w:val="00E81F81"/>
    <w:rsid w:val="00E82A72"/>
    <w:rsid w:val="00E84B8B"/>
    <w:rsid w:val="00E90BC5"/>
    <w:rsid w:val="00E9457B"/>
    <w:rsid w:val="00E96D4A"/>
    <w:rsid w:val="00EA1091"/>
    <w:rsid w:val="00EA143C"/>
    <w:rsid w:val="00EA4881"/>
    <w:rsid w:val="00EA4894"/>
    <w:rsid w:val="00EB0FB6"/>
    <w:rsid w:val="00EB55F8"/>
    <w:rsid w:val="00EC4073"/>
    <w:rsid w:val="00ED1E5A"/>
    <w:rsid w:val="00EF11C9"/>
    <w:rsid w:val="00EF6B64"/>
    <w:rsid w:val="00F045E2"/>
    <w:rsid w:val="00F04CFB"/>
    <w:rsid w:val="00F06713"/>
    <w:rsid w:val="00F0710C"/>
    <w:rsid w:val="00F20CAE"/>
    <w:rsid w:val="00F20CED"/>
    <w:rsid w:val="00F2660C"/>
    <w:rsid w:val="00F32661"/>
    <w:rsid w:val="00F33DA0"/>
    <w:rsid w:val="00F400C6"/>
    <w:rsid w:val="00F420B5"/>
    <w:rsid w:val="00F456ED"/>
    <w:rsid w:val="00F4589C"/>
    <w:rsid w:val="00F55B8B"/>
    <w:rsid w:val="00F647FC"/>
    <w:rsid w:val="00F83B3D"/>
    <w:rsid w:val="00F8417B"/>
    <w:rsid w:val="00F91173"/>
    <w:rsid w:val="00F915D4"/>
    <w:rsid w:val="00F92839"/>
    <w:rsid w:val="00F9463A"/>
    <w:rsid w:val="00F97832"/>
    <w:rsid w:val="00FA0367"/>
    <w:rsid w:val="00FA2D17"/>
    <w:rsid w:val="00FA3601"/>
    <w:rsid w:val="00FB0862"/>
    <w:rsid w:val="00FB137A"/>
    <w:rsid w:val="00FC34CA"/>
    <w:rsid w:val="00FC4068"/>
    <w:rsid w:val="00FC67A5"/>
    <w:rsid w:val="00FD012F"/>
    <w:rsid w:val="00FD1282"/>
    <w:rsid w:val="00FE0D68"/>
    <w:rsid w:val="00FE6F02"/>
    <w:rsid w:val="00FF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DDB5065-0E95-43D9-94DF-95D2619B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3881"/>
  </w:style>
  <w:style w:type="paragraph" w:styleId="a5">
    <w:name w:val="footer"/>
    <w:basedOn w:val="a"/>
    <w:link w:val="a6"/>
    <w:uiPriority w:val="99"/>
    <w:unhideWhenUsed/>
    <w:rsid w:val="00763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3881"/>
  </w:style>
  <w:style w:type="table" w:styleId="a7">
    <w:name w:val="Table Grid"/>
    <w:basedOn w:val="a1"/>
    <w:uiPriority w:val="39"/>
    <w:rsid w:val="00311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0"/>
    <w:rsid w:val="0031158F"/>
  </w:style>
  <w:style w:type="paragraph" w:styleId="a8">
    <w:name w:val="Balloon Text"/>
    <w:basedOn w:val="a"/>
    <w:link w:val="a9"/>
    <w:uiPriority w:val="99"/>
    <w:semiHidden/>
    <w:unhideWhenUsed/>
    <w:rsid w:val="0031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58F"/>
    <w:rPr>
      <w:rFonts w:ascii="Tahoma" w:hAnsi="Tahoma" w:cs="Tahoma"/>
      <w:sz w:val="16"/>
      <w:szCs w:val="16"/>
    </w:rPr>
  </w:style>
  <w:style w:type="character" w:customStyle="1" w:styleId="sub">
    <w:name w:val="sub"/>
    <w:basedOn w:val="a0"/>
    <w:rsid w:val="00857AD5"/>
  </w:style>
  <w:style w:type="character" w:customStyle="1" w:styleId="super">
    <w:name w:val="super"/>
    <w:basedOn w:val="a0"/>
    <w:rsid w:val="00857AD5"/>
  </w:style>
  <w:style w:type="character" w:customStyle="1" w:styleId="apple-converted-space">
    <w:name w:val="apple-converted-space"/>
    <w:basedOn w:val="a0"/>
    <w:rsid w:val="00857AD5"/>
  </w:style>
  <w:style w:type="paragraph" w:customStyle="1" w:styleId="tbl-hdr">
    <w:name w:val="tbl-hdr"/>
    <w:basedOn w:val="a"/>
    <w:rsid w:val="006A6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l-txt">
    <w:name w:val="tbl-txt"/>
    <w:basedOn w:val="a"/>
    <w:rsid w:val="006A6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aliases w:val="Heading Bullet,UL,Абзац маркированнный,Предусловия,Шаг процесса,1,Table-Normal,RSHB_Table-Normal,Bullet List,FooterText,numbered,Bullet Number,Индексы,Num Bullet 1,Пункт,List1,List11,List111,List1111,List11111,List111111,List1111111,Liste1"/>
    <w:basedOn w:val="a"/>
    <w:link w:val="ab"/>
    <w:uiPriority w:val="34"/>
    <w:qFormat/>
    <w:rsid w:val="00847B24"/>
    <w:pPr>
      <w:spacing w:after="160" w:line="259" w:lineRule="auto"/>
      <w:ind w:left="720"/>
      <w:contextualSpacing/>
    </w:pPr>
  </w:style>
  <w:style w:type="paragraph" w:styleId="ac">
    <w:name w:val="footnote text"/>
    <w:basedOn w:val="a"/>
    <w:link w:val="ad"/>
    <w:unhideWhenUsed/>
    <w:rsid w:val="00026E6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026E65"/>
    <w:rPr>
      <w:sz w:val="20"/>
      <w:szCs w:val="20"/>
    </w:rPr>
  </w:style>
  <w:style w:type="character" w:styleId="ae">
    <w:name w:val="footnote reference"/>
    <w:basedOn w:val="a0"/>
    <w:unhideWhenUsed/>
    <w:rsid w:val="00026E65"/>
    <w:rPr>
      <w:vertAlign w:val="superscript"/>
    </w:rPr>
  </w:style>
  <w:style w:type="paragraph" w:styleId="af">
    <w:name w:val="Normal (Web)"/>
    <w:basedOn w:val="a"/>
    <w:uiPriority w:val="99"/>
    <w:semiHidden/>
    <w:unhideWhenUsed/>
    <w:rsid w:val="00FD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391969"/>
    <w:rPr>
      <w:color w:val="0000FF"/>
      <w:u w:val="single"/>
    </w:rPr>
  </w:style>
  <w:style w:type="character" w:customStyle="1" w:styleId="ab">
    <w:name w:val="Абзац списка Знак"/>
    <w:aliases w:val="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,Num Bullet 1 Знак"/>
    <w:basedOn w:val="a0"/>
    <w:link w:val="aa"/>
    <w:uiPriority w:val="34"/>
    <w:locked/>
    <w:rsid w:val="00391969"/>
  </w:style>
  <w:style w:type="paragraph" w:customStyle="1" w:styleId="point">
    <w:name w:val="point"/>
    <w:basedOn w:val="a"/>
    <w:rsid w:val="009E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9246C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B72FC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106669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55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naufor.ru/tree.asp?n=29394" TargetMode="External"/><Relationship Id="rId3" Type="http://schemas.openxmlformats.org/officeDocument/2006/relationships/hyperlink" Target="https://naufor.ru/tree.asp?n=28758" TargetMode="External"/><Relationship Id="rId7" Type="http://schemas.openxmlformats.org/officeDocument/2006/relationships/hyperlink" Target="https://naufor.ru/tree.asp?n=25538" TargetMode="External"/><Relationship Id="rId2" Type="http://schemas.openxmlformats.org/officeDocument/2006/relationships/hyperlink" Target="https://naufor.ru/tree.asp?n=28677" TargetMode="External"/><Relationship Id="rId1" Type="http://schemas.openxmlformats.org/officeDocument/2006/relationships/hyperlink" Target="https://naufor.ru/tree.asp?n=29113" TargetMode="External"/><Relationship Id="rId6" Type="http://schemas.openxmlformats.org/officeDocument/2006/relationships/hyperlink" Target="https://naufor.ru/tree.asp?n=30037" TargetMode="External"/><Relationship Id="rId11" Type="http://schemas.openxmlformats.org/officeDocument/2006/relationships/hyperlink" Target="https://naufor.ru/tree.asp?n=4195" TargetMode="External"/><Relationship Id="rId5" Type="http://schemas.openxmlformats.org/officeDocument/2006/relationships/hyperlink" Target="https://naufor.ru/tree.asp?n=27767" TargetMode="External"/><Relationship Id="rId10" Type="http://schemas.openxmlformats.org/officeDocument/2006/relationships/hyperlink" Target="http://naufor.ru/tree.asp?n=30086" TargetMode="External"/><Relationship Id="rId4" Type="http://schemas.openxmlformats.org/officeDocument/2006/relationships/hyperlink" Target="https://naufor.ru/tree.asp?n=29860" TargetMode="External"/><Relationship Id="rId9" Type="http://schemas.openxmlformats.org/officeDocument/2006/relationships/hyperlink" Target="https://naufor.ru/tree.asp?n=184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64E42-E3E0-4597-9513-0EA739B74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2330</Words>
  <Characters>13286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zverev</dc:creator>
  <cp:lastModifiedBy>Ольга</cp:lastModifiedBy>
  <cp:revision>2</cp:revision>
  <cp:lastPrinted>2025-04-22T05:58:00Z</cp:lastPrinted>
  <dcterms:created xsi:type="dcterms:W3CDTF">2025-04-29T07:10:00Z</dcterms:created>
  <dcterms:modified xsi:type="dcterms:W3CDTF">2025-04-29T07:10:00Z</dcterms:modified>
</cp:coreProperties>
</file>