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svg" ContentType="image/sv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96" w:after="96"/>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96" w:after="96"/>
        <w:ind w:firstLine="8364"/>
        <w:rPr>
          <w:rFonts w:ascii="Times New Roman" w:hAnsi="Times New Roman" w:cs="Times New Roman"/>
          <w:b/>
          <w:sz w:val="24"/>
          <w:szCs w:val="24"/>
        </w:rPr>
      </w:pPr>
      <w:r>
        <w:rPr>
          <w:rFonts w:cs="Times New Roman" w:ascii="Times New Roman" w:hAnsi="Times New Roman"/>
          <w:b/>
          <w:sz w:val="24"/>
          <w:szCs w:val="24"/>
        </w:rPr>
        <w:drawing>
          <wp:anchor behindDoc="0" distT="0" distB="0" distL="0" distR="0" simplePos="0" locked="0" layoutInCell="1" allowOverlap="1" relativeHeight="3">
            <wp:simplePos x="0" y="0"/>
            <wp:positionH relativeFrom="column">
              <wp:posOffset>127635</wp:posOffset>
            </wp:positionH>
            <wp:positionV relativeFrom="paragraph">
              <wp:posOffset>17780</wp:posOffset>
            </wp:positionV>
            <wp:extent cx="3357880" cy="224790"/>
            <wp:effectExtent l="0" t="0" r="0" b="0"/>
            <wp:wrapNone/>
            <wp:docPr id="1" name="Рисунок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 title=""/>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3357880" cy="224790"/>
                    </a:xfrm>
                    <a:prstGeom prst="rect">
                      <a:avLst/>
                    </a:prstGeom>
                    <a:noFill/>
                  </pic:spPr>
                </pic:pic>
              </a:graphicData>
            </a:graphic>
          </wp:anchor>
        </w:drawing>
      </w:r>
    </w:p>
    <w:p>
      <w:pPr>
        <w:pStyle w:val="Normal"/>
        <w:spacing w:lineRule="auto" w:line="240" w:before="96" w:after="96"/>
        <w:ind w:start="284" w:end="284"/>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96" w:after="96"/>
        <w:ind w:start="284" w:end="284"/>
        <w:jc w:val="end"/>
        <w:rPr>
          <w:rFonts w:ascii="Times New Roman" w:hAnsi="Times New Roman" w:cs="Times New Roman"/>
          <w:sz w:val="24"/>
          <w:szCs w:val="24"/>
        </w:rPr>
      </w:pPr>
      <w:r>
        <w:rPr/>
      </w:r>
    </w:p>
    <w:p>
      <w:pPr>
        <w:pStyle w:val="Normal"/>
        <w:tabs>
          <w:tab w:val="clear" w:pos="708"/>
          <w:tab w:val="left" w:pos="9071" w:leader="none"/>
        </w:tabs>
        <w:spacing w:lineRule="auto" w:line="240" w:before="96" w:after="96"/>
        <w:ind w:start="284" w:end="284"/>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96" w:after="96"/>
        <w:ind w:firstLine="424" w:start="284" w:end="284"/>
        <w:jc w:val="center"/>
        <w:rPr>
          <w:rFonts w:ascii="Times New Roman" w:hAnsi="Times New Roman" w:cs="Times New Roman"/>
          <w:b/>
          <w:sz w:val="24"/>
          <w:szCs w:val="24"/>
        </w:rPr>
      </w:pPr>
      <w:r>
        <w:rPr>
          <w:rFonts w:cs="Times New Roman" w:ascii="Times New Roman" w:hAnsi="Times New Roman"/>
          <w:b/>
          <w:sz w:val="24"/>
          <w:szCs w:val="24"/>
        </w:rPr>
        <w:t xml:space="preserve">Отчет Совета директоров НАУФОР </w:t>
      </w:r>
      <w:bookmarkStart w:id="0" w:name="_GoBack"/>
      <w:bookmarkEnd w:id="0"/>
    </w:p>
    <w:p>
      <w:pPr>
        <w:pStyle w:val="Normal"/>
        <w:spacing w:lineRule="auto" w:line="240" w:before="96" w:after="96"/>
        <w:ind w:firstLine="424" w:start="284" w:end="284"/>
        <w:jc w:val="center"/>
        <w:rPr>
          <w:rFonts w:ascii="Times New Roman" w:hAnsi="Times New Roman" w:cs="Times New Roman"/>
          <w:b/>
          <w:sz w:val="24"/>
          <w:szCs w:val="24"/>
        </w:rPr>
      </w:pPr>
      <w:r>
        <w:rPr>
          <w:rFonts w:cs="Times New Roman" w:ascii="Times New Roman" w:hAnsi="Times New Roman"/>
          <w:b/>
          <w:sz w:val="24"/>
          <w:szCs w:val="24"/>
        </w:rPr>
        <w:t>за 2025 год</w:t>
      </w:r>
    </w:p>
    <w:p>
      <w:pPr>
        <w:pStyle w:val="Normal"/>
        <w:spacing w:lineRule="auto" w:line="360" w:before="0" w:after="0"/>
        <w:ind w:start="284" w:end="-1"/>
        <w:rPr>
          <w:rFonts w:ascii="Times New Roman" w:hAnsi="Times New Roman" w:cs="Times New Roman"/>
          <w:spacing w:val="1"/>
          <w:sz w:val="24"/>
          <w:szCs w:val="24"/>
        </w:rPr>
      </w:pPr>
      <w:r>
        <w:rPr>
          <w:rFonts w:cs="Times New Roman" w:ascii="Times New Roman" w:hAnsi="Times New Roman"/>
          <w:spacing w:val="1"/>
          <w:sz w:val="24"/>
          <w:szCs w:val="24"/>
        </w:rPr>
      </w:r>
    </w:p>
    <w:p>
      <w:pPr>
        <w:pStyle w:val="Normal"/>
        <w:tabs>
          <w:tab w:val="clear" w:pos="708"/>
          <w:tab w:val="left" w:pos="9071" w:leader="none"/>
        </w:tabs>
        <w:spacing w:lineRule="auto" w:line="360" w:before="0" w:after="0"/>
        <w:ind w:firstLine="567" w:end="284"/>
        <w:jc w:val="both"/>
        <w:rPr>
          <w:rFonts w:ascii="Times New Roman" w:hAnsi="Times New Roman" w:cs="Times New Roman"/>
          <w:sz w:val="24"/>
          <w:szCs w:val="24"/>
        </w:rPr>
      </w:pPr>
      <w:r>
        <w:rPr>
          <w:rFonts w:cs="Times New Roman" w:ascii="Times New Roman" w:hAnsi="Times New Roman"/>
          <w:sz w:val="24"/>
          <w:szCs w:val="24"/>
        </w:rPr>
        <w:t>Уважаемые коллеги!</w:t>
      </w:r>
    </w:p>
    <w:p>
      <w:pPr>
        <w:pStyle w:val="Normal"/>
        <w:tabs>
          <w:tab w:val="clear" w:pos="708"/>
          <w:tab w:val="left" w:pos="9071" w:leader="none"/>
        </w:tabs>
        <w:spacing w:lineRule="auto" w:line="360" w:before="0" w:after="0"/>
        <w:ind w:firstLine="567" w:end="284"/>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071" w:leader="none"/>
        </w:tabs>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 xml:space="preserve">Совет директоров обсуждает наиболее важные инициативы по изменению регулирования финансового рынка и формирует позицию ассоциации в дискуссии </w:t>
        <w:br/>
        <w:t xml:space="preserve">с Банком России, Правительством России и Федеральным собранием России, разрабатывает собственные инициативы, утверждает обязательные для ее членов правила деятельности – внутренние стандарты, выбирает Президента НАУФОР и контролирует его деятельность, формирует комитеты НАУФОР, а также рассматривает жалобы на решения Дисциплинарного комитета НАУФОР. </w:t>
      </w:r>
    </w:p>
    <w:p>
      <w:pPr>
        <w:pStyle w:val="Normal"/>
        <w:tabs>
          <w:tab w:val="clear" w:pos="708"/>
          <w:tab w:val="left" w:pos="9071" w:leader="none"/>
        </w:tabs>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При Совете директоров созданы четыре комитета, состоящих из его членов и осуществляющих предварительное рассмотрение вопросов, относящихся к их компетенции, и представление Совету директоров рекомендаций относительно принимаемых им решений:</w:t>
      </w:r>
    </w:p>
    <w:p>
      <w:pPr>
        <w:pStyle w:val="ListParagraph"/>
        <w:tabs>
          <w:tab w:val="clear" w:pos="708"/>
          <w:tab w:val="left" w:pos="9071" w:leader="none"/>
        </w:tabs>
        <w:spacing w:lineRule="auto" w:line="360" w:before="0" w:after="0"/>
        <w:ind w:firstLine="567" w:start="0" w:end="284"/>
        <w:contextualSpacing/>
        <w:rPr>
          <w:rFonts w:ascii="Times New Roman" w:hAnsi="Times New Roman" w:cs="Times New Roman"/>
          <w:sz w:val="24"/>
          <w:szCs w:val="24"/>
        </w:rPr>
      </w:pPr>
      <w:r>
        <w:rPr>
          <w:rFonts w:cs="Times New Roman" w:ascii="Times New Roman" w:hAnsi="Times New Roman"/>
          <w:sz w:val="24"/>
          <w:szCs w:val="24"/>
        </w:rPr>
        <w:t>1. Комитет Совета директоров НАУФОР по стратегическому развитию (обсуждает направления развития и рассматривает программные документы органов государственной власти в области финансового рынка);</w:t>
      </w:r>
    </w:p>
    <w:p>
      <w:pPr>
        <w:pStyle w:val="ListParagraph"/>
        <w:tabs>
          <w:tab w:val="clear" w:pos="708"/>
          <w:tab w:val="left" w:pos="9071" w:leader="none"/>
        </w:tabs>
        <w:spacing w:lineRule="auto" w:line="360" w:before="0" w:after="0"/>
        <w:ind w:firstLine="567" w:start="0" w:end="284"/>
        <w:contextualSpacing/>
        <w:rPr>
          <w:rFonts w:ascii="Times New Roman" w:hAnsi="Times New Roman" w:cs="Times New Roman"/>
          <w:sz w:val="24"/>
          <w:szCs w:val="24"/>
        </w:rPr>
      </w:pPr>
      <w:r>
        <w:rPr>
          <w:rFonts w:cs="Times New Roman" w:ascii="Times New Roman" w:hAnsi="Times New Roman"/>
          <w:sz w:val="24"/>
          <w:szCs w:val="24"/>
        </w:rPr>
        <w:t>2. Комитет Совета директоров НАУФОР по бюджету (рассматривает проекты сметы и отчета о ее исполнении, годовой бухгалтерской отчетности НАУФОР, вопросы о размере, порядке расчета и порядка уплаты вступительного взноса и членских взносов);</w:t>
      </w:r>
    </w:p>
    <w:p>
      <w:pPr>
        <w:pStyle w:val="ListParagraph"/>
        <w:tabs>
          <w:tab w:val="clear" w:pos="708"/>
          <w:tab w:val="left" w:pos="9071" w:leader="none"/>
        </w:tabs>
        <w:spacing w:lineRule="auto" w:line="360" w:before="0" w:after="0"/>
        <w:ind w:firstLine="567" w:start="0" w:end="284"/>
        <w:contextualSpacing/>
        <w:rPr>
          <w:rFonts w:ascii="Times New Roman" w:hAnsi="Times New Roman" w:cs="Times New Roman"/>
          <w:sz w:val="24"/>
          <w:szCs w:val="24"/>
        </w:rPr>
      </w:pPr>
      <w:r>
        <w:rPr>
          <w:rFonts w:cs="Times New Roman" w:ascii="Times New Roman" w:hAnsi="Times New Roman"/>
          <w:sz w:val="24"/>
          <w:szCs w:val="24"/>
        </w:rPr>
        <w:t xml:space="preserve">3. Комитет Совета директоров по членству в НАУФОР (рассматривает вопросы </w:t>
        <w:br/>
        <w:t>о приеме в НАУФОР и об исключении из НАУФОР, а также иные вопросы, связанные с членством в НАУФОР);</w:t>
      </w:r>
    </w:p>
    <w:p>
      <w:pPr>
        <w:pStyle w:val="ListParagraph"/>
        <w:spacing w:lineRule="auto" w:line="360" w:before="0" w:after="0"/>
        <w:ind w:firstLine="567" w:start="0"/>
        <w:contextualSpacing/>
        <w:rPr>
          <w:rFonts w:ascii="Times New Roman" w:hAnsi="Times New Roman" w:cs="Times New Roman"/>
          <w:color w:val="000000"/>
          <w:sz w:val="24"/>
          <w:szCs w:val="24"/>
        </w:rPr>
      </w:pPr>
      <w:r>
        <w:rPr>
          <w:rFonts w:cs="Times New Roman" w:ascii="Times New Roman" w:hAnsi="Times New Roman"/>
          <w:color w:val="000000"/>
          <w:sz w:val="24"/>
          <w:szCs w:val="24"/>
        </w:rPr>
        <w:t>4. Комитет Совета директоров НАУФОР по рассмотрению жалоб на решения Дисциплинарного комитета НАУФОР (рассматривает жалобы на решения и действия Дисциплинарного комитета НАУФОР).</w:t>
      </w:r>
    </w:p>
    <w:p>
      <w:pPr>
        <w:pStyle w:val="Normal"/>
        <w:tabs>
          <w:tab w:val="clear" w:pos="708"/>
          <w:tab w:val="left" w:pos="9071" w:leader="none"/>
        </w:tabs>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 xml:space="preserve">В 2025 году Совет директоров НАУФОР провел 14 заседаний, из которых 11 </w:t>
        <w:br/>
        <w:t>в очной форме и 3 в форме заочного голосования.</w:t>
      </w:r>
    </w:p>
    <w:p>
      <w:pPr>
        <w:pStyle w:val="Normal"/>
        <w:tabs>
          <w:tab w:val="clear" w:pos="708"/>
          <w:tab w:val="left" w:pos="9071" w:leader="none"/>
        </w:tabs>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1. Прием в члены НАУФОР и прекращение членства в НАУФОР</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в Совет директоров НАУФОР принял в Ассоциацию 55 новых организаций и расширил членство 11 компаний </w:t>
      </w:r>
      <w:bookmarkStart w:id="1" w:name="_Hlk226984981"/>
      <w:r>
        <w:rPr>
          <w:rFonts w:cs="Times New Roman" w:ascii="Times New Roman" w:hAnsi="Times New Roman"/>
          <w:sz w:val="24"/>
          <w:szCs w:val="24"/>
        </w:rPr>
        <w:t>на дополнительные виды деятельности на финансовом рынке</w:t>
      </w:r>
      <w:bookmarkEnd w:id="1"/>
      <w:r>
        <w:rPr>
          <w:rFonts w:cs="Times New Roman" w:ascii="Times New Roman" w:hAnsi="Times New Roman"/>
          <w:sz w:val="24"/>
          <w:szCs w:val="24"/>
        </w:rPr>
        <w:t xml:space="preserve">.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течение 2025 года 34 финансовых посредника прекратили свое членство в НАУФОР: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связи с аннулированием Банком России лицензий за нарушения – 5 компаний,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связи с аннулированием Банком России лицензий на основании собственного заявления – 14 компаний,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связи с исключением из единого реестра инвестиционных советников – </w:t>
        <w:br/>
        <w:t xml:space="preserve">4 индивидуальных предпринимателя,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связи с добровольным выходом – 2 компании и 1 индивидуальный предприниматель,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связи с реорганизацией – 6 компаний.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по состоянию на 31 мая 2026 года общее количество членов НАУФОР – 712. В НАУФОР входят 541 московская компания и 171 региональная компания.</w:t>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 начала 2026 года Совет директоров принял в НАУФОР 16 новых организаций и расширил членство 8 компаний на дополнительные виды деятельности на финансовом рынке. С начала 2026 года прекратили свое членство в НАУФОР: в связи с аннулированием Банком России лицензий и/или исключением из Реестра инвестиционных советников на основании собственного заявления – 6 компаний, в связи с аннулированием Банком России лицензий за нарушения – 2 компании, в связи с добровольным выходом – 2 компании, в связи с реорганизацией - 4 компании.</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2. Предложения по развитию рынка капитала 2025-2030</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апреле 2025 года НАУФОР представила программу «Развитие российского рынка капитала 2025-2030 годы»</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 Документ был разработан Комитетом Совета директоров НАУФОР по стратегическому развитию и одобрен на заседании Совета директоров ассоциации 17 апреля 2025 года.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Решение разработать программу было принято НАУФОР в развитие Указа Президента РФ от 7 мая 2024 года № 309 «О национальных целях развития РФ на период до 2030 года и на перспективу до 2036 года», согласно которому к 2030 году капитализация фондового рынка должна составить 66% ВВП.</w:t>
      </w:r>
    </w:p>
    <w:p>
      <w:pPr>
        <w:pStyle w:val="Normal"/>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Программа НАУФОР содержит оценку состояния финансового рынка, признает основной проблемой российского рынка ценных бумаг его недостаточную емкость, препятствующую его органическому росту, и необходимость в связи с этим привлечь в течение 6 лет не менее 23 трлн рублей. В документе предлагаются целевые показатели объема средств, которые должны быть в 2030 году аккумулированы разными секторами рынка ценных бумаг и желательная для каждого из них доля акций.</w:t>
      </w:r>
    </w:p>
    <w:p>
      <w:pPr>
        <w:pStyle w:val="Normal"/>
        <w:spacing w:lineRule="auto" w:line="360" w:before="0" w:after="0"/>
        <w:rPr>
          <w:rFonts w:ascii="Times New Roman" w:hAnsi="Times New Roman" w:cs="Times New Roman"/>
          <w:sz w:val="24"/>
          <w:szCs w:val="24"/>
          <w:highlight w:val="yellow"/>
        </w:rPr>
      </w:pPr>
      <w:r>
        <w:rPr>
          <w:rFonts w:cs="Times New Roman" w:ascii="Times New Roman" w:hAnsi="Times New Roman"/>
          <w:sz w:val="24"/>
          <w:szCs w:val="24"/>
          <w:highlight w:val="yellow"/>
        </w:rPr>
      </w:r>
    </w:p>
    <w:tbl>
      <w:tblPr>
        <w:tblW w:w="9349" w:type="dxa"/>
        <w:jc w:val="start"/>
        <w:tblInd w:w="0" w:type="dxa"/>
        <w:tblLayout w:type="fixed"/>
        <w:tblCellMar>
          <w:top w:w="100" w:type="dxa"/>
          <w:start w:w="100" w:type="dxa"/>
          <w:bottom w:w="100" w:type="dxa"/>
          <w:end w:w="100" w:type="dxa"/>
        </w:tblCellMar>
        <w:tblLook w:firstRow="1" w:noVBand="1" w:lastRow="0" w:firstColumn="1" w:lastColumn="0" w:noHBand="0" w:val="04a0"/>
      </w:tblPr>
      <w:tblGrid>
        <w:gridCol w:w="319"/>
        <w:gridCol w:w="3214"/>
        <w:gridCol w:w="3063"/>
        <w:gridCol w:w="1428"/>
        <w:gridCol w:w="1325"/>
      </w:tblGrid>
      <w:tr>
        <w:trPr>
          <w:trHeight w:val="500" w:hRule="atLeast"/>
        </w:trPr>
        <w:tc>
          <w:tcPr>
            <w:tcW w:w="319" w:type="dxa"/>
            <w:tcBorders>
              <w:top w:val="single" w:sz="2" w:space="0" w:color="000000"/>
              <w:start w:val="single" w:sz="2" w:space="0" w:color="000000"/>
              <w:bottom w:val="single" w:sz="2" w:space="0" w:color="000000"/>
              <w:end w:val="single" w:sz="2" w:space="0" w:color="000000"/>
            </w:tcBorders>
            <w:shd w:color="auto" w:fill="D9E2F3" w:val="clear"/>
          </w:tcPr>
          <w:p>
            <w:pPr>
              <w:pStyle w:val="NormalWeb"/>
              <w:spacing w:lineRule="auto" w:line="360" w:beforeAutospacing="0" w:before="0" w:afterAutospacing="0" w:after="0"/>
              <w:jc w:val="center"/>
              <w:rPr/>
            </w:pPr>
            <w:r>
              <w:rPr>
                <w:color w:val="000000"/>
              </w:rPr>
              <w:t>  </w:t>
            </w:r>
          </w:p>
        </w:tc>
        <w:tc>
          <w:tcPr>
            <w:tcW w:w="3214" w:type="dxa"/>
            <w:tcBorders>
              <w:top w:val="single" w:sz="2" w:space="0" w:color="000000"/>
              <w:start w:val="single" w:sz="2" w:space="0" w:color="000000"/>
              <w:bottom w:val="single" w:sz="2" w:space="0" w:color="000000"/>
              <w:end w:val="single" w:sz="2" w:space="0" w:color="000000"/>
            </w:tcBorders>
            <w:shd w:color="auto" w:fill="D9E2F3" w:val="clear"/>
          </w:tcPr>
          <w:p>
            <w:pPr>
              <w:pStyle w:val="NormalWeb"/>
              <w:spacing w:lineRule="auto" w:line="360" w:beforeAutospacing="0" w:before="0" w:afterAutospacing="0" w:after="0"/>
              <w:jc w:val="center"/>
              <w:rPr/>
            </w:pPr>
            <w:r>
              <w:rPr>
                <w:color w:val="000000"/>
              </w:rPr>
              <w:t>Направление</w:t>
            </w:r>
          </w:p>
        </w:tc>
        <w:tc>
          <w:tcPr>
            <w:tcW w:w="3063" w:type="dxa"/>
            <w:tcBorders>
              <w:top w:val="single" w:sz="2" w:space="0" w:color="000000"/>
              <w:start w:val="single" w:sz="2" w:space="0" w:color="000000"/>
              <w:bottom w:val="single" w:sz="2" w:space="0" w:color="000000"/>
              <w:end w:val="single" w:sz="2" w:space="0" w:color="000000"/>
            </w:tcBorders>
            <w:shd w:color="auto" w:fill="D9E2F3" w:val="clear"/>
          </w:tcPr>
          <w:p>
            <w:pPr>
              <w:pStyle w:val="NormalWeb"/>
              <w:spacing w:lineRule="auto" w:line="360" w:beforeAutospacing="0" w:before="0" w:afterAutospacing="0" w:after="0"/>
              <w:jc w:val="center"/>
              <w:rPr/>
            </w:pPr>
            <w:r>
              <w:rPr>
                <w:color w:val="000000"/>
              </w:rPr>
              <w:t>Показатель</w:t>
            </w:r>
          </w:p>
        </w:tc>
        <w:tc>
          <w:tcPr>
            <w:tcW w:w="1428" w:type="dxa"/>
            <w:tcBorders>
              <w:top w:val="single" w:sz="2" w:space="0" w:color="000000"/>
              <w:start w:val="single" w:sz="2" w:space="0" w:color="000000"/>
              <w:bottom w:val="single" w:sz="2" w:space="0" w:color="000000"/>
              <w:end w:val="single" w:sz="2" w:space="0" w:color="000000"/>
            </w:tcBorders>
            <w:shd w:color="auto" w:fill="D9E2F3" w:val="clear"/>
          </w:tcPr>
          <w:p>
            <w:pPr>
              <w:pStyle w:val="NormalWeb"/>
              <w:spacing w:lineRule="auto" w:line="360" w:beforeAutospacing="0" w:before="0" w:afterAutospacing="0" w:after="0"/>
              <w:jc w:val="center"/>
              <w:rPr/>
            </w:pPr>
            <w:r>
              <w:rPr>
                <w:color w:val="000000"/>
              </w:rPr>
              <w:t>2024 год</w:t>
            </w:r>
          </w:p>
        </w:tc>
        <w:tc>
          <w:tcPr>
            <w:tcW w:w="1325" w:type="dxa"/>
            <w:tcBorders>
              <w:top w:val="single" w:sz="2" w:space="0" w:color="000000"/>
              <w:start w:val="single" w:sz="2" w:space="0" w:color="000000"/>
              <w:bottom w:val="single" w:sz="2" w:space="0" w:color="000000"/>
              <w:end w:val="single" w:sz="2" w:space="0" w:color="000000"/>
            </w:tcBorders>
            <w:shd w:color="auto" w:fill="D9E2F3" w:val="clear"/>
          </w:tcPr>
          <w:p>
            <w:pPr>
              <w:pStyle w:val="NormalWeb"/>
              <w:spacing w:lineRule="auto" w:line="360" w:beforeAutospacing="0" w:before="0" w:afterAutospacing="0" w:after="0"/>
              <w:jc w:val="center"/>
              <w:rPr/>
            </w:pPr>
            <w:r>
              <w:rPr>
                <w:color w:val="000000"/>
              </w:rPr>
              <w:t>2030 год</w:t>
            </w:r>
          </w:p>
        </w:tc>
      </w:tr>
      <w:tr>
        <w:trPr>
          <w:trHeight w:val="1040" w:hRule="atLeast"/>
        </w:trPr>
        <w:tc>
          <w:tcPr>
            <w:tcW w:w="319"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w:t>
            </w:r>
          </w:p>
        </w:tc>
        <w:tc>
          <w:tcPr>
            <w:tcW w:w="3214"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Стимулирование инвестиций и защита интересов розничных инвесторов</w:t>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граждан на брокерских счетах/доля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9,43 трлн руб./30%</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16 трлн руб./45%</w:t>
            </w:r>
          </w:p>
        </w:tc>
      </w:tr>
      <w:tr>
        <w:trPr>
          <w:trHeight w:val="12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граждан в ДУ/доля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2 трлн руб./16%</w:t>
            </w:r>
          </w:p>
          <w:p>
            <w:pPr>
              <w:pStyle w:val="NormalWeb"/>
              <w:spacing w:lineRule="auto" w:line="360" w:beforeAutospacing="0" w:before="0" w:afterAutospacing="0" w:after="0"/>
              <w:rPr/>
            </w:pPr>
            <w:r>
              <w:rPr>
                <w:color w:val="000000"/>
              </w:rPr>
              <w:t> </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5 трлн руб./24%</w:t>
            </w:r>
          </w:p>
          <w:p>
            <w:pPr>
              <w:pStyle w:val="NormalWeb"/>
              <w:spacing w:lineRule="auto" w:line="360" w:beforeAutospacing="0" w:before="0" w:afterAutospacing="0" w:after="0"/>
              <w:rPr/>
            </w:pPr>
            <w:r>
              <w:rPr>
                <w:color w:val="000000"/>
              </w:rPr>
              <w:t> </w:t>
            </w:r>
          </w:p>
        </w:tc>
      </w:tr>
      <w:tr>
        <w:trPr>
          <w:trHeight w:val="1580" w:hRule="atLeast"/>
        </w:trPr>
        <w:tc>
          <w:tcPr>
            <w:tcW w:w="319"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2</w:t>
            </w:r>
          </w:p>
        </w:tc>
        <w:tc>
          <w:tcPr>
            <w:tcW w:w="3214"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Стимулирование инвестиций и защита интересов корпоративных инвесторов</w:t>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корпоративных инвесторов</w:t>
              <w:br/>
              <w:t>на брокерских счетах/доля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14 трлн руб./30%</w:t>
            </w:r>
          </w:p>
          <w:p>
            <w:pPr>
              <w:pStyle w:val="NormalWeb"/>
              <w:spacing w:lineRule="auto" w:line="360" w:beforeAutospacing="0" w:before="0" w:afterAutospacing="0" w:after="0"/>
              <w:rPr/>
            </w:pPr>
            <w:r>
              <w:rPr>
                <w:color w:val="000000"/>
              </w:rPr>
              <w:t> </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25 трлн руб./30%</w:t>
            </w:r>
          </w:p>
          <w:p>
            <w:pPr>
              <w:pStyle w:val="NormalWeb"/>
              <w:spacing w:lineRule="auto" w:line="360" w:beforeAutospacing="0" w:before="0" w:afterAutospacing="0" w:after="0"/>
              <w:rPr/>
            </w:pPr>
            <w:r>
              <w:rPr>
                <w:color w:val="000000"/>
              </w:rPr>
              <w:t> </w:t>
            </w:r>
          </w:p>
        </w:tc>
      </w:tr>
      <w:tr>
        <w:trPr>
          <w:trHeight w:val="132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корпоративных инвесторов в ДУ/доля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0,8 трлн руб./нет данных</w:t>
            </w:r>
          </w:p>
          <w:p>
            <w:pPr>
              <w:pStyle w:val="NormalWeb"/>
              <w:spacing w:lineRule="auto" w:line="360" w:beforeAutospacing="0" w:before="0" w:afterAutospacing="0" w:after="0"/>
              <w:rPr/>
            </w:pPr>
            <w:r>
              <w:rPr>
                <w:color w:val="000000"/>
              </w:rPr>
              <w:t> </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1,8 трлн руб./10%</w:t>
            </w:r>
          </w:p>
        </w:tc>
      </w:tr>
      <w:tr>
        <w:trPr>
          <w:trHeight w:val="1320" w:hRule="atLeast"/>
        </w:trPr>
        <w:tc>
          <w:tcPr>
            <w:tcW w:w="319"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3</w:t>
            </w:r>
          </w:p>
        </w:tc>
        <w:tc>
          <w:tcPr>
            <w:tcW w:w="3214"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Привлечение иностранных инвесторов</w:t>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иностранных инвесторов на брокерских счетах/доля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1,9 трлн руб./нет данных</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2,9 трлн руб. /50%</w:t>
            </w:r>
          </w:p>
        </w:tc>
      </w:tr>
      <w:tr>
        <w:trPr>
          <w:trHeight w:val="1320" w:hRule="atLeast"/>
        </w:trPr>
        <w:tc>
          <w:tcPr>
            <w:tcW w:w="319"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4</w:t>
            </w:r>
          </w:p>
        </w:tc>
        <w:tc>
          <w:tcPr>
            <w:tcW w:w="3214"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Повышение эффективности финансового посредничества</w:t>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Собственные средства профессиональных участников рынка ценных бумаг</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1,97 трлн руб./33%</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3 трлн руб./33%</w:t>
            </w:r>
          </w:p>
        </w:tc>
      </w:tr>
      <w:tr>
        <w:trPr>
          <w:trHeight w:val="7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граждан на брокерских счетах/ДУ</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См. п. 1 и 2</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См. п. 1 и 2</w:t>
            </w:r>
          </w:p>
        </w:tc>
      </w:tr>
      <w:tr>
        <w:trPr>
          <w:trHeight w:val="15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Объем активов корпоративных инвесторов на брокерских счетах/ счетах ДУ</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См. п. 1 и 2</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См. п. 1 и 2</w:t>
            </w:r>
          </w:p>
        </w:tc>
      </w:tr>
      <w:tr>
        <w:trPr>
          <w:trHeight w:val="780" w:hRule="atLeast"/>
        </w:trPr>
        <w:tc>
          <w:tcPr>
            <w:tcW w:w="319"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5</w:t>
            </w:r>
          </w:p>
        </w:tc>
        <w:tc>
          <w:tcPr>
            <w:tcW w:w="3214"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Развитие институциональных инвесторов – ПИФ, НПФ, страховых организаций</w:t>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СЧА ОИБПИФ/доля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1,93 трлн руб./22%</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7 трлн руб./40%</w:t>
            </w:r>
          </w:p>
        </w:tc>
      </w:tr>
      <w:tr>
        <w:trPr>
          <w:trHeight w:val="7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СЧА ЗПИФ</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15,2 трлн руб./39%</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33 трлн руб./40%</w:t>
            </w:r>
          </w:p>
        </w:tc>
      </w:tr>
      <w:tr>
        <w:trPr>
          <w:trHeight w:val="104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В том числе объем СЧА ЗПИФ корпоративных инвесторов</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6,9 трлн руб.</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12 трлн руб.</w:t>
            </w:r>
          </w:p>
        </w:tc>
      </w:tr>
      <w:tr>
        <w:trPr>
          <w:trHeight w:val="7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В том числе СЧА розничных ЗПИФ</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0,1 трлн руб.</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0,5 трлн руб.</w:t>
            </w:r>
          </w:p>
        </w:tc>
      </w:tr>
      <w:tr>
        <w:trPr>
          <w:trHeight w:val="102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Инвестиционные ресурсы НПФ/доля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5,6 трлн руб</w:t>
            </w:r>
          </w:p>
          <w:p>
            <w:pPr>
              <w:pStyle w:val="NormalWeb"/>
              <w:spacing w:lineRule="auto" w:line="360" w:beforeAutospacing="0" w:before="0" w:afterAutospacing="0" w:after="0"/>
              <w:rPr/>
            </w:pPr>
            <w:r>
              <w:rPr>
                <w:color w:val="000000"/>
              </w:rPr>
              <w:t>9%/5,6%</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12 трлн/20%</w:t>
            </w:r>
          </w:p>
        </w:tc>
      </w:tr>
      <w:tr>
        <w:trPr>
          <w:trHeight w:val="7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Пенсионные накопления в СФР/доля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2,43 трлн руб./0,2%</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2 трлн руб./0,2%</w:t>
            </w:r>
          </w:p>
        </w:tc>
      </w:tr>
      <w:tr>
        <w:trPr>
          <w:trHeight w:val="780" w:hRule="atLeast"/>
        </w:trPr>
        <w:tc>
          <w:tcPr>
            <w:tcW w:w="319"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214" w:type="dxa"/>
            <w:vMerge w:val="continue"/>
            <w:tcBorders>
              <w:top w:val="single" w:sz="2" w:space="0" w:color="000000"/>
              <w:start w:val="single" w:sz="2" w:space="0" w:color="000000"/>
              <w:bottom w:val="single" w:sz="2" w:space="0" w:color="000000"/>
              <w:end w:val="single" w:sz="2" w:space="0" w:color="000000"/>
            </w:tcBorders>
            <w:shd w:color="auto" w:fill="auto"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Активы страховых организаций/доля акций</w:t>
            </w:r>
          </w:p>
        </w:tc>
        <w:tc>
          <w:tcPr>
            <w:tcW w:w="1428"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6,3 трлн руб./3%</w:t>
            </w:r>
          </w:p>
        </w:tc>
        <w:tc>
          <w:tcPr>
            <w:tcW w:w="1325" w:type="dxa"/>
            <w:tcBorders>
              <w:top w:val="single" w:sz="2" w:space="0" w:color="000000"/>
              <w:start w:val="single" w:sz="2" w:space="0" w:color="000000"/>
              <w:bottom w:val="single" w:sz="2" w:space="0" w:color="000000"/>
              <w:end w:val="single" w:sz="2" w:space="0" w:color="000000"/>
            </w:tcBorders>
            <w:shd w:color="auto" w:fill="auto" w:val="clear"/>
          </w:tcPr>
          <w:p>
            <w:pPr>
              <w:pStyle w:val="NormalWeb"/>
              <w:spacing w:lineRule="auto" w:line="360" w:beforeAutospacing="0" w:before="0" w:afterAutospacing="0" w:after="0"/>
              <w:rPr/>
            </w:pPr>
            <w:r>
              <w:rPr>
                <w:color w:val="000000"/>
              </w:rPr>
              <w:t>10 трлн руб./10%</w:t>
            </w:r>
          </w:p>
        </w:tc>
      </w:tr>
    </w:tbl>
    <w:p>
      <w:pPr>
        <w:pStyle w:val="NormalWeb"/>
        <w:spacing w:lineRule="auto" w:line="360" w:beforeAutospacing="0" w:before="0" w:afterAutospacing="0" w:after="0"/>
        <w:rPr/>
      </w:pPr>
      <w:r>
        <w:rPr>
          <w:color w:val="000000"/>
        </w:rPr>
        <w:t>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Исходя из текущих и целевых показателей, программа определяет подходы и меры для решения поставленной Президентом РФ задачи по следующим направлениям:</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стимулирование розничных инвесторов и корпоративных инвесторов, привлечение иностранных инвесторов,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развитие институциональных инвесторов - ПИФ, НПФ, страховых организаций,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повышение эффективности финансового посредничества.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защита интересов инвесторов,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стимулирование компаний к IPO и долговым заимствованиям на рынке капитала,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создание новых финансовых инструментов и продуктов,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развитие инфраструктуры.</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Документ был опубликован и направлен НАУФОР регуляторам для использования в работе и стал основой для собственных инициатив НАУФОР.</w:t>
      </w:r>
    </w:p>
    <w:p>
      <w:pPr>
        <w:pStyle w:val="ListParagraph"/>
        <w:tabs>
          <w:tab w:val="clear" w:pos="708"/>
          <w:tab w:val="left" w:pos="9071" w:leader="none"/>
        </w:tabs>
        <w:spacing w:lineRule="auto" w:line="360" w:before="0" w:after="0"/>
        <w:ind w:start="567"/>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9071" w:leader="none"/>
        </w:tabs>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 xml:space="preserve">3. Утверждение внутренних стандартов НАУФОР </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Для членов саморегулируемых организаций на финансовом рынке действуют обязательные стандарты деятельности: базовые, утверждаемые Банком России, и внутренние, утверждаемые Советом директоров НАУФОР.</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В апреле 2025 года была утверждена новая редакция внутреннего стандарта «Порядок расчета стоимости чистых активов»</w:t>
      </w:r>
      <w:r>
        <w:rPr>
          <w:rStyle w:val="FootnoteReference"/>
          <w:rFonts w:cs="Times New Roman" w:ascii="Times New Roman" w:hAnsi="Times New Roman"/>
          <w:color w:themeColor="text1" w:val="000000"/>
          <w:sz w:val="24"/>
          <w:szCs w:val="24"/>
        </w:rPr>
        <w:footnoteReference w:id="3"/>
      </w:r>
      <w:r>
        <w:rPr>
          <w:rFonts w:cs="Times New Roman" w:ascii="Times New Roman" w:hAnsi="Times New Roman"/>
          <w:color w:themeColor="text1" w:val="000000"/>
          <w:sz w:val="24"/>
          <w:szCs w:val="24"/>
        </w:rPr>
        <w:t xml:space="preserve">. В стандарт включены методики определения справедливой стоимости прав и обязательств по договорам аренды и оценки производных финансовых инструментов и контрактов (опционных договоров). Ряд положения стандарта скорректированы с учетом требований Указания Банка России </w:t>
        <w:br/>
        <w:t xml:space="preserve">№ 6779-У и увеличения до одного года предельного срока действия отчета оценщика </w:t>
        <w:br/>
        <w:t>в отношении имущества КПИФ. Стандарт предусматривает возможность оценки отдельных активов по амортизированной стоимости, в соответствии с МСФО (IFRS) 9.</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Также в апреле Совет директоров НАУФОР утвердил внутренний стандарт «Взаимодействие регистраторов с разработчиками программного обеспечения»</w:t>
      </w:r>
      <w:r>
        <w:rPr>
          <w:rStyle w:val="FootnoteReference"/>
          <w:rFonts w:cs="Times New Roman" w:ascii="Times New Roman" w:hAnsi="Times New Roman"/>
          <w:color w:themeColor="text1" w:val="000000"/>
          <w:sz w:val="24"/>
          <w:szCs w:val="24"/>
        </w:rPr>
        <w:footnoteReference w:id="4"/>
      </w:r>
      <w:r>
        <w:rPr>
          <w:rFonts w:cs="Times New Roman" w:ascii="Times New Roman" w:hAnsi="Times New Roman"/>
          <w:color w:themeColor="text1" w:val="000000"/>
          <w:sz w:val="24"/>
          <w:szCs w:val="24"/>
        </w:rPr>
        <w:t>. Стандарт разработан в целях совершенствования системы управления рисками информационных технологий регистраторов при выборе программного обеспечения и его поставщика. Он определяет требования к договору на поставку и сопровождение программного обеспечения, к анализу поставщика программного обеспечения.</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В мае 2025 года был утвержден внутренний стандарт «О предоставлении деклараций о рисках»</w:t>
      </w:r>
      <w:r>
        <w:rPr>
          <w:rStyle w:val="FootnoteReference"/>
          <w:rFonts w:cs="Times New Roman" w:ascii="Times New Roman" w:hAnsi="Times New Roman"/>
          <w:color w:themeColor="text1" w:val="000000"/>
          <w:sz w:val="24"/>
          <w:szCs w:val="24"/>
        </w:rPr>
        <w:footnoteReference w:id="5"/>
      </w:r>
      <w:r>
        <w:rPr>
          <w:rFonts w:cs="Times New Roman" w:ascii="Times New Roman" w:hAnsi="Times New Roman"/>
          <w:color w:themeColor="text1" w:val="000000"/>
          <w:sz w:val="24"/>
          <w:szCs w:val="24"/>
        </w:rPr>
        <w:t xml:space="preserve">, разработанный в соответствии с положениями новой редакции базового стандарта защиты прав и интересов получателей финансовых услуг, оказываемых брокерами. Стандарт содержит общую форму декларации о рисках, связанных </w:t>
        <w:br/>
        <w:t>с совершением операций на рынке ценных бумаг, а также пять специализированных форм деклараций.</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Также в мае 2025 года Совет директоров НАУФОР утвердил внутренний стандарт «Форматы сообщений для передачи реестра владельцев инвестиционных паев»</w:t>
      </w:r>
      <w:r>
        <w:rPr>
          <w:rStyle w:val="FootnoteReference"/>
          <w:rFonts w:cs="Times New Roman" w:ascii="Times New Roman" w:hAnsi="Times New Roman"/>
          <w:color w:themeColor="text1" w:val="000000"/>
          <w:sz w:val="24"/>
          <w:szCs w:val="24"/>
        </w:rPr>
        <w:footnoteReference w:id="6"/>
      </w:r>
      <w:r>
        <w:rPr>
          <w:rFonts w:cs="Times New Roman" w:ascii="Times New Roman" w:hAnsi="Times New Roman"/>
          <w:color w:themeColor="text1" w:val="000000"/>
          <w:sz w:val="24"/>
          <w:szCs w:val="24"/>
        </w:rPr>
        <w:t>. Документ устанавливает требования к составу и структуре электронных документов, которыми обмениваются спецдепозитарии или регистраторы в процессе передачи реестра владельцев инвестиционных паев.</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В июне 2025 года был утвержден внутренний стандарт «О предоставлении ключевой информации о договоре о брокерском обслуживании»</w:t>
      </w:r>
      <w:r>
        <w:rPr>
          <w:rStyle w:val="FootnoteReference"/>
          <w:rFonts w:cs="Times New Roman" w:ascii="Times New Roman" w:hAnsi="Times New Roman"/>
          <w:color w:themeColor="text1" w:val="000000"/>
          <w:sz w:val="24"/>
          <w:szCs w:val="24"/>
        </w:rPr>
        <w:footnoteReference w:id="7"/>
      </w:r>
      <w:r>
        <w:rPr>
          <w:rFonts w:cs="Times New Roman" w:ascii="Times New Roman" w:hAnsi="Times New Roman"/>
          <w:color w:themeColor="text1" w:val="000000"/>
          <w:sz w:val="24"/>
          <w:szCs w:val="24"/>
        </w:rPr>
        <w:t xml:space="preserve">. Стандарт разработан в соответствии с положениями новой редакции базового стандарта защиты прав и интересов получателей финансовых услуг, оказываемых брокерами, в соответствии с которым ключевая информация о договоре о брокерском обслуживании, предоставляемая получателю финансовых услуг - физическому лицу до предоставления иных документов при заключении договора о брокерском обслуживании, должна соответствовать требованиям, установленным внутренним стандартом саморегулируемой организации, членом которой является брокер. </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В сентябре 2025 года Совет директоров НАУФОР утвердил внутренний стандарт «Управление разработкой и предложением финансовых инструментов»</w:t>
      </w:r>
      <w:r>
        <w:rPr>
          <w:rStyle w:val="FootnoteReference"/>
          <w:rFonts w:cs="Times New Roman" w:ascii="Times New Roman" w:hAnsi="Times New Roman"/>
          <w:color w:themeColor="text1" w:val="000000"/>
          <w:sz w:val="24"/>
          <w:szCs w:val="24"/>
        </w:rPr>
        <w:footnoteReference w:id="8"/>
      </w:r>
      <w:r>
        <w:rPr>
          <w:rFonts w:cs="Times New Roman" w:ascii="Times New Roman" w:hAnsi="Times New Roman"/>
          <w:color w:themeColor="text1" w:val="000000"/>
          <w:sz w:val="24"/>
          <w:szCs w:val="24"/>
        </w:rPr>
        <w:t>. Стандарт разработан в соответствии с положениями базового стандарта защиты прав и интересов получателей финансовых услуг, оказываемых брокерами, и устанавливает правила разработки и предложения физическим лицам сложных финансовых инструментов: внебиржевых производных финансовых инструментов, облигаций со структурным доходом, структурных облигаций, иностранных финансовых инструментов, аналогичных облигациям со структурным доходом и структурным облигациям.</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В декабре 2025 года был утвержден внутренний стандарт «Информирование </w:t>
        <w:br/>
        <w:t>об участии (неучастии), прекращении участия в системе возмещения стоимости имущества, которое учтено на индивидуальных инвестиционных счетах, и последствиях такого прекращения»</w:t>
      </w:r>
      <w:r>
        <w:rPr>
          <w:rStyle w:val="FootnoteReference"/>
          <w:rFonts w:cs="Times New Roman" w:ascii="Times New Roman" w:hAnsi="Times New Roman"/>
          <w:color w:themeColor="text1" w:val="000000"/>
          <w:sz w:val="24"/>
          <w:szCs w:val="24"/>
        </w:rPr>
        <w:footnoteReference w:id="9"/>
      </w:r>
      <w:r>
        <w:rPr>
          <w:rFonts w:cs="Times New Roman" w:ascii="Times New Roman" w:hAnsi="Times New Roman"/>
          <w:color w:themeColor="text1" w:val="000000"/>
          <w:sz w:val="24"/>
          <w:szCs w:val="24"/>
        </w:rPr>
        <w:t xml:space="preserve">. Добровольная система гарантирования от банкротства средств </w:t>
        <w:br/>
        <w:t>на ИИС-3, согласно поправкам в закон о рынке ценных бумаг, начинает работу с 1 января 2026 года. Закон предусматривает, что компании обязаны раскрывать и предоставлять инвесторам информацию о своем участии или неучастии, прекращении участия в системе возмещения стоимости имущества, которое учтено на ИИС. Утвержденный внутренний стандарт устанавливает порядок такого информирования.</w:t>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6 февраля 2026 года Совет директоров также утвердил внутренний стандарт «Порядок утверждения специализированным депозитарием отчета о прекращении паевого инвестиционного фонда»</w:t>
      </w:r>
      <w:r>
        <w:rPr>
          <w:rStyle w:val="FootnoteReference"/>
          <w:rFonts w:cs="Times New Roman" w:ascii="Times New Roman" w:hAnsi="Times New Roman"/>
          <w:i/>
          <w:sz w:val="24"/>
          <w:szCs w:val="24"/>
        </w:rPr>
        <w:footnoteReference w:id="10"/>
      </w:r>
      <w:r>
        <w:rPr>
          <w:rFonts w:cs="Times New Roman" w:ascii="Times New Roman" w:hAnsi="Times New Roman"/>
          <w:i/>
          <w:sz w:val="24"/>
          <w:szCs w:val="24"/>
        </w:rPr>
        <w:t xml:space="preserve">. Стандарт разработан в связи передачей с 1 марта 2026 года специализированным депозитариям функций по утверждению отчета о прекращении ПИФ, инвестиционные паи которых не ограничены в обороте, в соответствии с поправками в законодательство об инвестиционных фондах. </w:t>
      </w:r>
    </w:p>
    <w:p>
      <w:pPr>
        <w:pStyle w:val="Normal"/>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 </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4. Обжалование решений Дисциплинарного комитета</w:t>
      </w:r>
    </w:p>
    <w:p>
      <w:pPr>
        <w:pStyle w:val="Normal"/>
        <w:tabs>
          <w:tab w:val="clear" w:pos="708"/>
          <w:tab w:val="left" w:pos="9071" w:leader="none"/>
        </w:tabs>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071" w:leader="none"/>
        </w:tabs>
        <w:spacing w:lineRule="auto" w:line="360" w:before="0" w:after="0"/>
        <w:ind w:firstLine="567"/>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В соответствии с </w:t>
      </w:r>
      <w:r>
        <w:rPr>
          <w:rFonts w:cs="Times New Roman" w:ascii="Times New Roman" w:hAnsi="Times New Roman"/>
          <w:sz w:val="24"/>
          <w:szCs w:val="24"/>
        </w:rPr>
        <w:t>внутренним стандартом НАУФОР «Система мер воздействия и порядок их применения за несоблюдение членами НАУФОР требований базовых стандартов, внутренних стандартов и иных внутренних документов НАУФОР»</w:t>
      </w:r>
      <w:r>
        <w:rPr>
          <w:rFonts w:cs="Times New Roman" w:ascii="Times New Roman" w:hAnsi="Times New Roman"/>
          <w:color w:themeColor="text1" w:val="000000"/>
          <w:sz w:val="24"/>
          <w:szCs w:val="24"/>
        </w:rPr>
        <w:t xml:space="preserve"> члены НАУФОР имеют право обжаловать решения Дисциплинарного комитета в Совете директоров НАУФОР. При этом жалоба предварительно рассматривается Комитетом Совета директоров НАУФОР </w:t>
      </w:r>
      <w:r>
        <w:rPr>
          <w:rFonts w:cs="Times New Roman" w:ascii="Times New Roman" w:hAnsi="Times New Roman"/>
          <w:color w:val="000000"/>
          <w:sz w:val="24"/>
          <w:szCs w:val="24"/>
        </w:rPr>
        <w:t>по рассмотрению жалоб на решения Дисциплинарного комитета НАУФОР</w:t>
      </w:r>
      <w:r>
        <w:rPr>
          <w:rFonts w:cs="Times New Roman" w:ascii="Times New Roman" w:hAnsi="Times New Roman"/>
          <w:color w:themeColor="text1" w:val="000000"/>
          <w:sz w:val="24"/>
          <w:szCs w:val="24"/>
        </w:rPr>
        <w:t>, который дает Совету директоров свои рекомендации. В 2025 году решения Дисциплинарного комитета НАУФОР обжаловались в Совете директоров НАУФОР три раза. По результатам рассмотрения все решения Дисциплинарного комитета остались без изменения.</w:t>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 xml:space="preserve">Справочно: в период с января по май 2026 года Совет директоров рассмотрел еще три жалобы на решения Дисциплинарного комитета НАУФОР. В двух случаях решения </w:t>
      </w:r>
      <w:r>
        <w:rPr>
          <w:rFonts w:cs="Times New Roman" w:ascii="Times New Roman" w:hAnsi="Times New Roman"/>
          <w:i/>
          <w:color w:themeColor="text1" w:val="000000"/>
          <w:sz w:val="24"/>
          <w:szCs w:val="24"/>
        </w:rPr>
        <w:t>Дисциплинарного комитета остались без изменения, в одном случае решение Дисциплинарного комитета НАУФОР было отменено, а дело направлено на новое рассмотрение.</w:t>
      </w:r>
    </w:p>
    <w:p>
      <w:pPr>
        <w:pStyle w:val="Normal"/>
        <w:spacing w:before="0" w:after="0"/>
        <w:rPr/>
      </w:pPr>
      <w:r>
        <w:rPr/>
      </w:r>
    </w:p>
    <w:p>
      <w:pPr>
        <w:pStyle w:val="Normal"/>
        <w:spacing w:before="0" w:after="0"/>
        <w:ind w:firstLine="567"/>
        <w:rPr>
          <w:rFonts w:ascii="Times New Roman" w:hAnsi="Times New Roman" w:cs="Times New Roman"/>
          <w:b/>
          <w:sz w:val="24"/>
          <w:szCs w:val="24"/>
        </w:rPr>
      </w:pPr>
      <w:r>
        <w:rPr>
          <w:rFonts w:cs="Times New Roman" w:ascii="Times New Roman" w:hAnsi="Times New Roman"/>
          <w:b/>
          <w:sz w:val="24"/>
          <w:szCs w:val="24"/>
        </w:rPr>
        <w:t>5. Создание фонда денежных взысканий НАУФОР</w:t>
      </w:r>
    </w:p>
    <w:p>
      <w:pPr>
        <w:pStyle w:val="Normal"/>
        <w:spacing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апреле 2025 года Совет директоров НАУФОР принял решение создать фонд денежных взысканий, в который зачисляются все средства, получаемые ассоциацией </w:t>
        <w:br/>
        <w:t xml:space="preserve">от штрафов за несоблюдение членами НАУФОР требований базовых, внутренних стандартов и иных внутренних документов ассоциации.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Средства фонда расходуются НАУФОР на финансирование мероприятий </w:t>
        <w:br/>
        <w:t>по повышению финансовой грамотности и формированию финансовой культуры, подготовке специалистов в сфере финансового рынка, повышению профессиональной квалификации сотрудников финансовых организаций.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апреле 2025 года Совет директоров одобрил учреждение за счет средств фонда денежных взысканий НАУФОР корпоративной стипендии НАУФОР в размере 240 тыс. рублей в год. Стипендия выплачивается двум студентам, обучающимся по финансовым специальностям, отобранным на конкурсной основе оператором стипендиальной программы - Ассоциацией «НП РТС».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в марте 2026 года Совет директоров принял решение перечислить средства фонда денежных взысканий, оставшиеся после финансирования выплат корпоративной стипендии в 2025 и 2026 годах, в созданный эндаумент (фонд целевого капитала) НАУФОР, а дальнейшее финансирование выплаты стипендии, начиная с 2027 года, осуществлять за счет доходов от эндаумента (фонда целевого капитала) НАУФОР.</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6. Создание эндаумента (фонда целевого капитала) НАУФОР</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2025 году Совет директоров НАУФОР одобрил создание эндаумента (фонда целевого капитала) НАУФОР. Фонд создан на базе НКО «Платформа развития целевых капиталов», управляющей компанией фонда выбрана УК ВИМ Инвестиции. Основная цель фонда целевого капитала НАУФОР - финансирование проектов по повышению финансовой грамотности, формированию финансовой культуры и подготовки специалистов в сфере финансового рынка. Целевой капитал НАУФОР будет пополняться за счёт взносов самой ассоциации, ее членов, а также любых заинтересованных организаций и граждан.</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ind w:firstLine="567"/>
        <w:rPr>
          <w:rFonts w:ascii="Times New Roman" w:hAnsi="Times New Roman" w:eastAsia="Times New Roman" w:cs="Times New Roman"/>
          <w:i/>
          <w:i/>
          <w:color w:val="1A1A1A"/>
          <w:sz w:val="24"/>
          <w:szCs w:val="24"/>
        </w:rPr>
      </w:pPr>
      <w:r>
        <w:rPr>
          <w:rFonts w:cs="Times New Roman" w:ascii="Times New Roman" w:hAnsi="Times New Roman"/>
          <w:i/>
          <w:sz w:val="24"/>
          <w:szCs w:val="24"/>
        </w:rPr>
        <w:t xml:space="preserve">Справочно: по состоянию на 31 мая 2026 года размер эндаумента (фонда целевого капитала) НАУФОР составляет </w:t>
      </w:r>
      <w:r>
        <w:rPr>
          <w:rFonts w:eastAsia="Times New Roman" w:cs="Times New Roman" w:ascii="Times New Roman" w:hAnsi="Times New Roman"/>
          <w:i/>
          <w:color w:val="1A1A1A"/>
          <w:sz w:val="24"/>
          <w:szCs w:val="24"/>
        </w:rPr>
        <w:t>19,1 млн рублей.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Председатель Совета директоров </w:t>
        <w:tab/>
        <w:tab/>
        <w:tab/>
        <w:tab/>
        <w:tab/>
        <w:tab/>
        <w:t>А.С. Волошин</w:t>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1906" w:h="16838"/>
      <w:pgMar w:left="1418" w:right="1133" w:gutter="0" w:header="57" w:top="851" w:footer="624" w:bottom="72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ALS Hauss Book">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216594"/>
    </w:sdtPr>
    <w:sdtContent>
      <w:p>
        <w:pPr>
          <w:pStyle w:val="Foot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8</w:t>
        </w:r>
        <w:r>
          <w:rPr>
            <w:sz w:val="24"/>
            <w:szCs w:val="24"/>
            <w:rFonts w:cs="Times New Roman" w:ascii="Times New Roman" w:hAnsi="Times New Roman"/>
          </w:rPr>
          <w:fldChar w:fldCharType="end"/>
        </w:r>
      </w:p>
    </w:sdtContent>
  </w:sdt>
  <w:p>
    <w:pPr>
      <w:pStyle w:val="Footer"/>
      <w:rPr>
        <w:rFonts w:ascii="Times New Roman" w:hAnsi="Times New Roman" w:cs="Times New Roman"/>
        <w:sz w:val="24"/>
        <w:szCs w:val="24"/>
      </w:rPr>
    </w:pPr>
    <w:r>
      <w:rPr>
        <w:rFonts w:cs="Times New Roman" w:ascii="Times New Roman" w:hAnsi="Times New Roman"/>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708"/>
          <w:tab w:val="left" w:pos="3525" w:leader="none"/>
        </w:tabs>
        <w:rPr>
          <w:rFonts w:ascii="Times New Roman" w:hAnsi="Times New Roman" w:cs="Times New Roman"/>
        </w:rPr>
      </w:pPr>
      <w:r>
        <w:rPr>
          <w:rStyle w:val="Style18"/>
        </w:rPr>
        <w:footnoteRef/>
      </w:r>
      <w:r>
        <w:rPr>
          <w:rFonts w:cs="Times New Roman" w:ascii="Times New Roman" w:hAnsi="Times New Roman"/>
        </w:rPr>
        <w:t xml:space="preserve"> </w:t>
      </w:r>
      <w:hyperlink r:id="rId1">
        <w:r>
          <w:rPr>
            <w:rStyle w:val="Hyperlink"/>
            <w:rFonts w:cs="Times New Roman" w:ascii="Times New Roman" w:hAnsi="Times New Roman"/>
          </w:rPr>
          <w:t>https://naufor.ru/tree.asp?n=30156</w:t>
        </w:r>
      </w:hyperlink>
      <w:r>
        <w:rPr>
          <w:rFonts w:cs="Times New Roman" w:ascii="Times New Roman" w:hAnsi="Times New Roman"/>
        </w:rPr>
        <w:t xml:space="preserve"> </w:t>
        <w:tab/>
      </w:r>
    </w:p>
  </w:footnote>
  <w:footnote w:id="3">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2">
        <w:r>
          <w:rPr>
            <w:rStyle w:val="Hyperlink"/>
            <w:rFonts w:cs="Times New Roman" w:ascii="Times New Roman" w:hAnsi="Times New Roman"/>
          </w:rPr>
          <w:t>https://naufor.ru/tree.asp?n=30087</w:t>
        </w:r>
      </w:hyperlink>
      <w:r>
        <w:rPr>
          <w:rFonts w:cs="Times New Roman" w:ascii="Times New Roman" w:hAnsi="Times New Roman"/>
        </w:rPr>
        <w:t xml:space="preserve"> </w:t>
      </w:r>
    </w:p>
  </w:footnote>
  <w:footnote w:id="4">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3">
        <w:r>
          <w:rPr>
            <w:rStyle w:val="Hyperlink"/>
            <w:rFonts w:cs="Times New Roman" w:ascii="Times New Roman" w:hAnsi="Times New Roman"/>
          </w:rPr>
          <w:t>https://naufor.ru/tree.asp?n=30086</w:t>
        </w:r>
      </w:hyperlink>
      <w:r>
        <w:rPr>
          <w:rFonts w:cs="Times New Roman" w:ascii="Times New Roman" w:hAnsi="Times New Roman"/>
        </w:rPr>
        <w:t xml:space="preserve"> </w:t>
      </w:r>
    </w:p>
  </w:footnote>
  <w:footnote w:id="5">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4">
        <w:r>
          <w:rPr>
            <w:rStyle w:val="Hyperlink"/>
            <w:rFonts w:cs="Times New Roman" w:ascii="Times New Roman" w:hAnsi="Times New Roman"/>
          </w:rPr>
          <w:t>https://naufor.ru/tree.asp?n=30322</w:t>
        </w:r>
      </w:hyperlink>
      <w:r>
        <w:rPr>
          <w:rFonts w:cs="Times New Roman" w:ascii="Times New Roman" w:hAnsi="Times New Roman"/>
        </w:rPr>
        <w:t xml:space="preserve"> </w:t>
      </w:r>
    </w:p>
  </w:footnote>
  <w:footnote w:id="6">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5">
        <w:r>
          <w:rPr>
            <w:rStyle w:val="Hyperlink"/>
            <w:rFonts w:cs="Times New Roman" w:ascii="Times New Roman" w:hAnsi="Times New Roman"/>
          </w:rPr>
          <w:t>https://naufor.ru/tree.asp?n=30321</w:t>
        </w:r>
      </w:hyperlink>
      <w:r>
        <w:rPr>
          <w:rFonts w:cs="Times New Roman" w:ascii="Times New Roman" w:hAnsi="Times New Roman"/>
        </w:rPr>
        <w:t xml:space="preserve"> </w:t>
      </w:r>
    </w:p>
  </w:footnote>
  <w:footnote w:id="7">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6">
        <w:r>
          <w:rPr>
            <w:rStyle w:val="Hyperlink"/>
            <w:rFonts w:cs="Times New Roman" w:ascii="Times New Roman" w:hAnsi="Times New Roman"/>
          </w:rPr>
          <w:t>https://naufor.ru/tree.asp?n=30507</w:t>
        </w:r>
      </w:hyperlink>
      <w:r>
        <w:rPr>
          <w:rFonts w:cs="Times New Roman" w:ascii="Times New Roman" w:hAnsi="Times New Roman"/>
        </w:rPr>
        <w:t xml:space="preserve"> </w:t>
      </w:r>
    </w:p>
  </w:footnote>
  <w:footnote w:id="8">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7">
        <w:r>
          <w:rPr>
            <w:rStyle w:val="Hyperlink"/>
            <w:rFonts w:cs="Times New Roman" w:ascii="Times New Roman" w:hAnsi="Times New Roman"/>
          </w:rPr>
          <w:t>https://naufor.ru/tree.asp?n=30877</w:t>
        </w:r>
      </w:hyperlink>
      <w:r>
        <w:rPr>
          <w:rFonts w:cs="Times New Roman" w:ascii="Times New Roman" w:hAnsi="Times New Roman"/>
        </w:rPr>
        <w:t xml:space="preserve"> </w:t>
      </w:r>
    </w:p>
  </w:footnote>
  <w:footnote w:id="9">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8">
        <w:r>
          <w:rPr>
            <w:rStyle w:val="Hyperlink"/>
            <w:rFonts w:cs="Times New Roman" w:ascii="Times New Roman" w:hAnsi="Times New Roman"/>
          </w:rPr>
          <w:t>https://naufor.ru/tree.asp?n=31295</w:t>
        </w:r>
      </w:hyperlink>
      <w:r>
        <w:rPr>
          <w:rFonts w:cs="Times New Roman" w:ascii="Times New Roman" w:hAnsi="Times New Roman"/>
        </w:rPr>
        <w:t xml:space="preserve"> </w:t>
      </w:r>
    </w:p>
  </w:footnote>
  <w:footnote w:id="10">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9">
        <w:r>
          <w:rPr>
            <w:rStyle w:val="Hyperlink"/>
            <w:rFonts w:cs="Times New Roman" w:ascii="Times New Roman" w:hAnsi="Times New Roman"/>
          </w:rPr>
          <w:t>https://naufor.ru/tree.asp?n=31652</w:t>
        </w:r>
      </w:hyperlink>
      <w:r>
        <w:rPr>
          <w:rFonts w:cs="Times New Roman" w:ascii="Times New Roman" w:hAnsi="Times New Roman"/>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19050" distL="0" distR="19685" simplePos="0" locked="0" layoutInCell="1" allowOverlap="1" relativeHeight="2">
              <wp:simplePos x="0" y="0"/>
              <wp:positionH relativeFrom="column">
                <wp:posOffset>0</wp:posOffset>
              </wp:positionH>
              <wp:positionV relativeFrom="paragraph">
                <wp:posOffset>635</wp:posOffset>
              </wp:positionV>
              <wp:extent cx="6609715" cy="685800"/>
              <wp:effectExtent l="5715" t="5080" r="4445" b="5080"/>
              <wp:wrapNone/>
              <wp:docPr id="2" name="Text Box 3"/>
              <a:graphic xmlns:a="http://schemas.openxmlformats.org/drawingml/2006/main">
                <a:graphicData uri="http://schemas.microsoft.com/office/word/2010/wordprocessingShape">
                  <wps:wsp>
                    <wps:cNvSpPr/>
                    <wps:spPr>
                      <a:xfrm>
                        <a:off x="0" y="0"/>
                        <a:ext cx="6609600" cy="685800"/>
                      </a:xfrm>
                      <a:prstGeom prst="rect">
                        <a:avLst/>
                      </a:prstGeom>
                      <a:solidFill>
                        <a:srgbClr val="ffffff"/>
                      </a:solidFill>
                      <a:ln w="9525">
                        <a:solidFill>
                          <a:srgbClr val="ffffff">
                            <a:lumMod val="100000"/>
                            <a:lumOff val="0"/>
                          </a:srgbClr>
                        </a:solidFill>
                        <a:miter/>
                      </a:ln>
                    </wps:spPr>
                    <wps:style>
                      <a:lnRef idx="0"/>
                      <a:fillRef idx="0"/>
                      <a:effectRef idx="0"/>
                      <a:fontRef idx="minor"/>
                    </wps:style>
                    <wps:txbx>
                      <w:txbxContent>
                        <w:p>
                          <w:pPr>
                            <w:pStyle w:val="Style26"/>
                            <w:spacing w:lineRule="auto" w:line="240" w:before="0" w:after="0"/>
                            <w:ind w:firstLine="5670"/>
                            <w:rPr>
                              <w:rFonts w:ascii="ALS Hauss Book" w:hAnsi="ALS Hauss Book"/>
                              <w:b/>
                              <w:sz w:val="16"/>
                              <w:szCs w:val="16"/>
                            </w:rPr>
                          </w:pPr>
                          <w:r>
                            <w:rPr>
                              <w:rFonts w:ascii="ALS Hauss Book" w:hAnsi="ALS Hauss Book"/>
                              <w:b/>
                              <w:sz w:val="16"/>
                              <w:szCs w:val="16"/>
                            </w:rPr>
                            <w:t>Отчет Совета директоров НАУФОР за 2025 год</w:t>
                          </w:r>
                        </w:p>
                      </w:txbxContent>
                    </wps:txbx>
                    <wps:bodyPr anchor="ctr" upright="1">
                      <a:noAutofit/>
                    </wps:bodyPr>
                  </wps:wsp>
                </a:graphicData>
              </a:graphic>
            </wp:anchor>
          </w:drawing>
        </mc:Choice>
        <mc:Fallback>
          <w:pict>
            <v:rect id="shape_0" ID="Text Box 3" path="m0,0l-2147483645,0l-2147483645,-2147483646l0,-2147483646xe" fillcolor="white" stroked="t" o:allowincell="f" style="position:absolute;margin-left:0pt;margin-top:2.15pt;width:520.4pt;height:53.95pt;mso-wrap-style:square;v-text-anchor:middle">
              <v:fill o:detectmouseclick="t" type="solid" color2="black"/>
              <v:stroke color="white" weight="9360" joinstyle="miter" endcap="flat"/>
              <v:textbox>
                <w:txbxContent>
                  <w:p>
                    <w:pPr>
                      <w:pStyle w:val="Style26"/>
                      <w:spacing w:lineRule="auto" w:line="240" w:before="0" w:after="0"/>
                      <w:ind w:firstLine="5670"/>
                      <w:rPr>
                        <w:rFonts w:ascii="ALS Hauss Book" w:hAnsi="ALS Hauss Book"/>
                        <w:b/>
                        <w:sz w:val="16"/>
                        <w:szCs w:val="16"/>
                      </w:rPr>
                    </w:pPr>
                    <w:r>
                      <w:rPr>
                        <w:rFonts w:ascii="ALS Hauss Book" w:hAnsi="ALS Hauss Book"/>
                        <w:b/>
                        <w:sz w:val="16"/>
                        <w:szCs w:val="16"/>
                      </w:rPr>
                      <w:t>Отчет Совета директоров НАУФОР за 2025 год</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themeColor="text2" w:themeTint="33" w:val="C6D9F1"/>
        <w:sz w:val="32"/>
        <w:lang w:val="en-US"/>
      </w:rPr>
    </w:pPr>
    <w:r>
      <w:rPr>
        <w:b/>
        <w:color w:themeColor="text2" w:themeTint="33" w:val="C6D9F1"/>
        <w:sz w:val="32"/>
        <w:lang w:val="en-US"/>
      </w:rPr>
    </w:r>
  </w:p>
  <w:p>
    <w:pPr>
      <w:pStyle w:val="Header"/>
      <w:jc w:val="center"/>
      <w:rPr>
        <w:b/>
        <w:lang w:val="en-US"/>
      </w:rPr>
    </w:pPr>
    <w:r>
      <w:rPr>
        <w:b/>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763881"/>
    <w:rPr/>
  </w:style>
  <w:style w:type="character" w:styleId="Style15" w:customStyle="1">
    <w:name w:val="Нижний колонтитул Знак"/>
    <w:basedOn w:val="DefaultParagraphFont"/>
    <w:uiPriority w:val="99"/>
    <w:qFormat/>
    <w:rsid w:val="00763881"/>
    <w:rPr/>
  </w:style>
  <w:style w:type="character" w:styleId="jlqj4b" w:customStyle="1">
    <w:name w:val="jlqj4b"/>
    <w:basedOn w:val="DefaultParagraphFont"/>
    <w:qFormat/>
    <w:rsid w:val="0031158f"/>
    <w:rPr/>
  </w:style>
  <w:style w:type="character" w:styleId="Style16" w:customStyle="1">
    <w:name w:val="Текст выноски Знак"/>
    <w:basedOn w:val="DefaultParagraphFont"/>
    <w:link w:val="BalloonText"/>
    <w:uiPriority w:val="99"/>
    <w:semiHidden/>
    <w:qFormat/>
    <w:rsid w:val="0031158f"/>
    <w:rPr>
      <w:rFonts w:ascii="Tahoma" w:hAnsi="Tahoma" w:cs="Tahoma"/>
      <w:sz w:val="16"/>
      <w:szCs w:val="16"/>
    </w:rPr>
  </w:style>
  <w:style w:type="character" w:styleId="sub" w:customStyle="1">
    <w:name w:val="sub"/>
    <w:basedOn w:val="DefaultParagraphFont"/>
    <w:qFormat/>
    <w:rsid w:val="00857ad5"/>
    <w:rPr/>
  </w:style>
  <w:style w:type="character" w:styleId="super" w:customStyle="1">
    <w:name w:val="super"/>
    <w:basedOn w:val="DefaultParagraphFont"/>
    <w:qFormat/>
    <w:rsid w:val="00857ad5"/>
    <w:rPr/>
  </w:style>
  <w:style w:type="character" w:styleId="apple-converted-space" w:customStyle="1">
    <w:name w:val="apple-converted-space"/>
    <w:basedOn w:val="DefaultParagraphFont"/>
    <w:qFormat/>
    <w:rsid w:val="00857ad5"/>
    <w:rPr/>
  </w:style>
  <w:style w:type="character" w:styleId="Style17" w:customStyle="1">
    <w:name w:val="Текст сноски Знак"/>
    <w:basedOn w:val="DefaultParagraphFont"/>
    <w:qFormat/>
    <w:rsid w:val="00026e65"/>
    <w:rPr>
      <w:sz w:val="20"/>
      <w:szCs w:val="20"/>
    </w:rPr>
  </w:style>
  <w:style w:type="character" w:styleId="Style18">
    <w:name w:val="Символ сноски"/>
    <w:basedOn w:val="DefaultParagraphFont"/>
    <w:unhideWhenUsed/>
    <w:qFormat/>
    <w:rsid w:val="00026e65"/>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391969"/>
    <w:rPr>
      <w:color w:val="0000FF"/>
      <w:u w:val="single"/>
    </w:rPr>
  </w:style>
  <w:style w:type="character" w:styleId="Style19" w:customStyle="1">
    <w:name w:val="Абзац списка Знак"/>
    <w:basedOn w:val="DefaultParagraphFont"/>
    <w:link w:val="ListParagraph"/>
    <w:uiPriority w:val="34"/>
    <w:qFormat/>
    <w:locked/>
    <w:rsid w:val="00391969"/>
    <w:rPr/>
  </w:style>
  <w:style w:type="character" w:styleId="1" w:customStyle="1">
    <w:name w:val="Неразрешенное упоминание1"/>
    <w:basedOn w:val="DefaultParagraphFont"/>
    <w:uiPriority w:val="99"/>
    <w:semiHidden/>
    <w:unhideWhenUsed/>
    <w:qFormat/>
    <w:rsid w:val="00c9246c"/>
    <w:rPr>
      <w:color w:val="605E5C"/>
      <w:shd w:fill="E1DFDD" w:val="clear"/>
    </w:rPr>
  </w:style>
  <w:style w:type="character" w:styleId="2" w:customStyle="1">
    <w:name w:val="Неразрешенное упоминание2"/>
    <w:basedOn w:val="DefaultParagraphFont"/>
    <w:uiPriority w:val="99"/>
    <w:semiHidden/>
    <w:unhideWhenUsed/>
    <w:qFormat/>
    <w:rsid w:val="00cb72fc"/>
    <w:rPr>
      <w:color w:val="605E5C"/>
      <w:shd w:fill="E1DFDD" w:val="clear"/>
    </w:rPr>
  </w:style>
  <w:style w:type="character" w:styleId="FollowedHyperlink">
    <w:name w:val="FollowedHyperlink"/>
    <w:basedOn w:val="DefaultParagraphFont"/>
    <w:uiPriority w:val="99"/>
    <w:semiHidden/>
    <w:unhideWhenUsed/>
    <w:rsid w:val="00106669"/>
    <w:rPr>
      <w:color w:themeColor="followedHyperlink" w:val="800080"/>
      <w:u w:val="single"/>
    </w:rPr>
  </w:style>
  <w:style w:type="character" w:styleId="UnresolvedMention">
    <w:name w:val="Unresolved Mention"/>
    <w:basedOn w:val="DefaultParagraphFont"/>
    <w:uiPriority w:val="99"/>
    <w:semiHidden/>
    <w:unhideWhenUsed/>
    <w:qFormat/>
    <w:rsid w:val="000559ce"/>
    <w:rPr>
      <w:color w:val="605E5C"/>
      <w:shd w:fill="E1DFDD" w:val="clear"/>
    </w:rPr>
  </w:style>
  <w:style w:type="character" w:styleId="Style20" w:customStyle="1">
    <w:name w:val="Основной текст Знак"/>
    <w:basedOn w:val="DefaultParagraphFont"/>
    <w:semiHidden/>
    <w:qFormat/>
    <w:rsid w:val="00240de1"/>
    <w:rPr>
      <w:rFonts w:ascii="Times New Roman" w:hAnsi="Times New Roman" w:eastAsia="Times New Roman" w:cs="Times New Roman"/>
      <w:b/>
      <w:color w:val="000000"/>
      <w:sz w:val="24"/>
      <w:szCs w:val="20"/>
    </w:rPr>
  </w:style>
  <w:style w:type="character" w:styleId="Style21" w:customStyle="1">
    <w:name w:val="Основной текст с отступом Знак"/>
    <w:basedOn w:val="DefaultParagraphFont"/>
    <w:uiPriority w:val="99"/>
    <w:semiHidden/>
    <w:qFormat/>
    <w:rsid w:val="003c3ccd"/>
    <w:rPr/>
  </w:style>
  <w:style w:type="character" w:styleId="wmi-callto" w:customStyle="1">
    <w:name w:val="wmi-callto"/>
    <w:basedOn w:val="DefaultParagraphFont"/>
    <w:qFormat/>
    <w:rsid w:val="00f4225c"/>
    <w:rPr/>
  </w:style>
  <w:style w:type="character" w:styleId="EndnoteReference">
    <w:name w:val="endnote reference"/>
    <w:rPr>
      <w:vertAlign w:val="superscript"/>
    </w:rPr>
  </w:style>
  <w:style w:type="character" w:styleId="Style22">
    <w:name w:val="Символ концевой сноски"/>
    <w:qFormat/>
    <w:rPr/>
  </w:style>
  <w:style w:type="paragraph" w:styleId="Style2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20"/>
    <w:semiHidden/>
    <w:rsid w:val="00240de1"/>
    <w:pPr>
      <w:suppressAutoHyphens w:val="true"/>
      <w:spacing w:lineRule="auto" w:line="240" w:before="0" w:after="0"/>
    </w:pPr>
    <w:rPr>
      <w:rFonts w:ascii="Times New Roman" w:hAnsi="Times New Roman" w:eastAsia="Times New Roman" w:cs="Times New Roman"/>
      <w:b/>
      <w:color w:val="000000"/>
      <w:sz w:val="24"/>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Style14"/>
    <w:uiPriority w:val="99"/>
    <w:unhideWhenUsed/>
    <w:rsid w:val="00763881"/>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763881"/>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31158f"/>
    <w:pPr>
      <w:spacing w:lineRule="auto" w:line="240" w:before="0" w:after="0"/>
    </w:pPr>
    <w:rPr>
      <w:rFonts w:ascii="Tahoma" w:hAnsi="Tahoma" w:cs="Tahoma"/>
      <w:sz w:val="16"/>
      <w:szCs w:val="16"/>
    </w:rPr>
  </w:style>
  <w:style w:type="paragraph" w:styleId="tbl-hdr" w:customStyle="1">
    <w:name w:val="tbl-hdr"/>
    <w:basedOn w:val="Normal"/>
    <w:qFormat/>
    <w:rsid w:val="006a68c8"/>
    <w:pPr>
      <w:spacing w:lineRule="auto" w:line="240" w:beforeAutospacing="1" w:afterAutospacing="1"/>
    </w:pPr>
    <w:rPr>
      <w:rFonts w:ascii="Times New Roman" w:hAnsi="Times New Roman" w:eastAsia="Times New Roman" w:cs="Times New Roman"/>
      <w:sz w:val="24"/>
      <w:szCs w:val="24"/>
    </w:rPr>
  </w:style>
  <w:style w:type="paragraph" w:styleId="tbl-txt" w:customStyle="1">
    <w:name w:val="tbl-txt"/>
    <w:basedOn w:val="Normal"/>
    <w:qFormat/>
    <w:rsid w:val="006a68c8"/>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link w:val="Style19"/>
    <w:uiPriority w:val="34"/>
    <w:qFormat/>
    <w:rsid w:val="00847b24"/>
    <w:pPr>
      <w:spacing w:lineRule="auto" w:line="259" w:before="0" w:after="160"/>
      <w:ind w:start="720"/>
      <w:contextualSpacing/>
    </w:pPr>
    <w:rPr/>
  </w:style>
  <w:style w:type="paragraph" w:styleId="FootnoteText">
    <w:name w:val="footnote text"/>
    <w:basedOn w:val="Normal"/>
    <w:link w:val="Style17"/>
    <w:unhideWhenUsed/>
    <w:rsid w:val="00026e65"/>
    <w:pPr>
      <w:spacing w:lineRule="auto" w:line="240" w:before="0" w:after="0"/>
    </w:pPr>
    <w:rPr>
      <w:sz w:val="20"/>
      <w:szCs w:val="20"/>
    </w:rPr>
  </w:style>
  <w:style w:type="paragraph" w:styleId="NormalWeb">
    <w:name w:val="Normal (Web)"/>
    <w:basedOn w:val="Normal"/>
    <w:uiPriority w:val="99"/>
    <w:semiHidden/>
    <w:unhideWhenUsed/>
    <w:qFormat/>
    <w:rsid w:val="00fd1282"/>
    <w:pPr>
      <w:spacing w:lineRule="auto" w:line="240" w:beforeAutospacing="1" w:afterAutospacing="1"/>
    </w:pPr>
    <w:rPr>
      <w:rFonts w:ascii="Times New Roman" w:hAnsi="Times New Roman" w:eastAsia="Times New Roman" w:cs="Times New Roman"/>
      <w:sz w:val="24"/>
      <w:szCs w:val="24"/>
    </w:rPr>
  </w:style>
  <w:style w:type="paragraph" w:styleId="point" w:customStyle="1">
    <w:name w:val="point"/>
    <w:basedOn w:val="Normal"/>
    <w:qFormat/>
    <w:rsid w:val="009e10d2"/>
    <w:pPr>
      <w:spacing w:lineRule="auto" w:line="240" w:beforeAutospacing="1" w:afterAutospacing="1"/>
    </w:pPr>
    <w:rPr>
      <w:rFonts w:ascii="Times New Roman" w:hAnsi="Times New Roman" w:eastAsia="Times New Roman" w:cs="Times New Roman"/>
      <w:sz w:val="24"/>
      <w:szCs w:val="24"/>
    </w:rPr>
  </w:style>
  <w:style w:type="paragraph" w:styleId="Style25" w:customStyle="1">
    <w:name w:val="Îáû÷íûé"/>
    <w:qFormat/>
    <w:rsid w:val="00240de1"/>
    <w:pPr>
      <w:widowControl/>
      <w:suppressAutoHyphens w:val="true"/>
      <w:bidi w:val="0"/>
      <w:spacing w:lineRule="auto" w:line="240" w:before="0" w:after="0"/>
      <w:jc w:val="start"/>
    </w:pPr>
    <w:rPr>
      <w:rFonts w:ascii="Times New Roman" w:hAnsi="Times New Roman" w:eastAsia="Times New Roman" w:cs="Times New Roman"/>
      <w:color w:val="auto"/>
      <w:kern w:val="0"/>
      <w:sz w:val="24"/>
      <w:szCs w:val="20"/>
      <w:lang w:val="ru-RU" w:eastAsia="ru-RU" w:bidi="ar-SA"/>
    </w:rPr>
  </w:style>
  <w:style w:type="paragraph" w:styleId="BodyTextIndent">
    <w:name w:val="Body Text Indent"/>
    <w:basedOn w:val="Normal"/>
    <w:link w:val="Style21"/>
    <w:uiPriority w:val="99"/>
    <w:semiHidden/>
    <w:unhideWhenUsed/>
    <w:rsid w:val="003c3ccd"/>
    <w:pPr>
      <w:spacing w:before="0" w:after="120"/>
      <w:ind w:start="283"/>
    </w:pPr>
    <w:rPr/>
  </w:style>
  <w:style w:type="paragraph" w:styleId="Style26">
    <w:name w:val="Содержимое врезки"/>
    <w:basedOn w:val="Normal"/>
    <w:qFormat/>
    <w:pPr/>
    <w:rPr/>
  </w:style>
  <w:style w:type="numbering" w:styleId="Style2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3115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naufor.ru/tree.asp?n=30156" TargetMode="External"/><Relationship Id="rId2" Type="http://schemas.openxmlformats.org/officeDocument/2006/relationships/hyperlink" Target="https://naufor.ru/tree.asp?n=30087" TargetMode="External"/><Relationship Id="rId3" Type="http://schemas.openxmlformats.org/officeDocument/2006/relationships/hyperlink" Target="https://naufor.ru/tree.asp?n=30086" TargetMode="External"/><Relationship Id="rId4" Type="http://schemas.openxmlformats.org/officeDocument/2006/relationships/hyperlink" Target="https://naufor.ru/tree.asp?n=30322" TargetMode="External"/><Relationship Id="rId5" Type="http://schemas.openxmlformats.org/officeDocument/2006/relationships/hyperlink" Target="https://naufor.ru/tree.asp?n=30321" TargetMode="External"/><Relationship Id="rId6" Type="http://schemas.openxmlformats.org/officeDocument/2006/relationships/hyperlink" Target="https://naufor.ru/tree.asp?n=30507" TargetMode="External"/><Relationship Id="rId7" Type="http://schemas.openxmlformats.org/officeDocument/2006/relationships/hyperlink" Target="https://naufor.ru/tree.asp?n=30877" TargetMode="External"/><Relationship Id="rId8" Type="http://schemas.openxmlformats.org/officeDocument/2006/relationships/hyperlink" Target="https://naufor.ru/tree.asp?n=31295" TargetMode="External"/><Relationship Id="rId9" Type="http://schemas.openxmlformats.org/officeDocument/2006/relationships/hyperlink" Target="https://naufor.ru/tree.asp?n=31652"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4004-616A-413B-8F4E-ED638B02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Application>LibreOffice/24.8.7.1$Windows_X86_64 LibreOffice_project/67172c63871c755bc0e5f9fc0c892575790cdcf6</Application>
  <AppVersion>15.0000</AppVersion>
  <Pages>8</Pages>
  <Words>1830</Words>
  <Characters>12514</Characters>
  <CharactersWithSpaces>14287</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2025-04-22T06:50:00Z</dcterms:created>
  <dc:creator>zverev</dc:creator>
  <dc:description/>
  <dc:language>ru-RU</dc:language>
  <cp:lastModifiedBy/>
  <cp:lastPrinted>2025-04-22T05:58:00Z</cp:lastPrinted>
  <dcterms:modified xsi:type="dcterms:W3CDTF">2026-06-18T12:04:18Z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