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svg" ContentType="image/sv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notes.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96" w:after="96"/>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96" w:after="96"/>
        <w:rPr>
          <w:rFonts w:ascii="Times New Roman" w:hAnsi="Times New Roman" w:cs="Times New Roman"/>
          <w:b/>
          <w:sz w:val="24"/>
          <w:szCs w:val="24"/>
        </w:rPr>
      </w:pPr>
      <w:r>
        <w:rPr>
          <w:rFonts w:cs="Times New Roman" w:ascii="Times New Roman" w:hAnsi="Times New Roman"/>
          <w:b/>
          <w:sz w:val="24"/>
          <w:szCs w:val="24"/>
        </w:rPr>
        <w:drawing>
          <wp:anchor behindDoc="0" distT="0" distB="0" distL="0" distR="0" simplePos="0" locked="0" layoutInCell="1" allowOverlap="1" relativeHeight="3">
            <wp:simplePos x="0" y="0"/>
            <wp:positionH relativeFrom="column">
              <wp:posOffset>127635</wp:posOffset>
            </wp:positionH>
            <wp:positionV relativeFrom="paragraph">
              <wp:posOffset>17780</wp:posOffset>
            </wp:positionV>
            <wp:extent cx="3357880" cy="224790"/>
            <wp:effectExtent l="0" t="0" r="0" b="0"/>
            <wp:wrapNone/>
            <wp:docPr id="1" name="Рисунок 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6" descr="" title=""/>
                    <pic:cNvPicPr>
                      <a:picLocks noChangeAspect="1" noChangeArrowheads="1"/>
                    </pic:cNvPicPr>
                  </pic:nvPicPr>
                  <pic:blipFill>
                    <a:blip r:embed="rId2">
                      <a:extLst>
                        <a:ext uri="{96DAC541-7B7A-43D3-8B79-37D633B846F1}">
                          <asvg:svgBlip xmlns:asvg="http://schemas.microsoft.com/office/drawing/2016/SVG/main" r:embed="rId3"/>
                        </a:ext>
                      </a:extLst>
                    </a:blip>
                    <a:stretch>
                      <a:fillRect/>
                    </a:stretch>
                  </pic:blipFill>
                  <pic:spPr bwMode="auto">
                    <a:xfrm>
                      <a:off x="0" y="0"/>
                      <a:ext cx="3357880" cy="224790"/>
                    </a:xfrm>
                    <a:prstGeom prst="rect">
                      <a:avLst/>
                    </a:prstGeom>
                    <a:noFill/>
                  </pic:spPr>
                </pic:pic>
              </a:graphicData>
            </a:graphic>
          </wp:anchor>
        </w:drawing>
      </w:r>
    </w:p>
    <w:p>
      <w:pPr>
        <w:pStyle w:val="Normal"/>
        <w:spacing w:lineRule="auto" w:line="240" w:before="96" w:after="96"/>
        <w:ind w:start="6804"/>
        <w:jc w:val="end"/>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96" w:after="96"/>
        <w:ind w:start="284" w:end="284"/>
        <w:jc w:val="end"/>
        <w:rPr>
          <w:rFonts w:ascii="Times New Roman" w:hAnsi="Times New Roman" w:cs="Times New Roman"/>
          <w:sz w:val="24"/>
          <w:szCs w:val="24"/>
        </w:rPr>
      </w:pPr>
      <w:r>
        <w:rPr/>
      </w:r>
    </w:p>
    <w:p>
      <w:pPr>
        <w:pStyle w:val="Normal"/>
        <w:spacing w:lineRule="auto" w:line="240" w:before="96" w:after="96"/>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96" w:after="96"/>
        <w:ind w:firstLine="142"/>
        <w:jc w:val="center"/>
        <w:rPr>
          <w:rFonts w:ascii="Times New Roman" w:hAnsi="Times New Roman" w:cs="Times New Roman"/>
          <w:b/>
          <w:sz w:val="24"/>
          <w:szCs w:val="24"/>
        </w:rPr>
      </w:pPr>
      <w:r>
        <w:rPr>
          <w:rFonts w:cs="Times New Roman" w:ascii="Times New Roman" w:hAnsi="Times New Roman"/>
          <w:b/>
          <w:sz w:val="24"/>
          <w:szCs w:val="24"/>
        </w:rPr>
        <w:t xml:space="preserve">Отчет Президента НАУФОР </w:t>
      </w:r>
    </w:p>
    <w:p>
      <w:pPr>
        <w:pStyle w:val="Normal"/>
        <w:spacing w:lineRule="auto" w:line="240" w:before="96" w:after="96"/>
        <w:ind w:firstLine="142"/>
        <w:jc w:val="center"/>
        <w:rPr>
          <w:rFonts w:ascii="Times New Roman" w:hAnsi="Times New Roman" w:cs="Times New Roman"/>
          <w:b/>
          <w:sz w:val="24"/>
          <w:szCs w:val="24"/>
        </w:rPr>
      </w:pPr>
      <w:r>
        <w:rPr>
          <w:rFonts w:cs="Times New Roman" w:ascii="Times New Roman" w:hAnsi="Times New Roman"/>
          <w:b/>
          <w:sz w:val="24"/>
          <w:szCs w:val="24"/>
        </w:rPr>
        <w:t>за 2025 год</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Уважаемые коллеги!</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567"/>
        <w:rPr>
          <w:rFonts w:ascii="Times New Roman" w:hAnsi="Times New Roman" w:cs="Times New Roman"/>
          <w:sz w:val="24"/>
          <w:szCs w:val="24"/>
          <w:highlight w:val="yellow"/>
        </w:rPr>
      </w:pPr>
      <w:r>
        <w:rPr>
          <w:rFonts w:cs="Times New Roman" w:ascii="Times New Roman" w:hAnsi="Times New Roman"/>
          <w:sz w:val="24"/>
          <w:szCs w:val="24"/>
        </w:rPr>
        <w:t xml:space="preserve">НАУФОР является ассоциацией, объединяющей финансовых посредников и управляющих активами, саморегулируемой организацией в отношении профессиональной деятельности на рынке ценных бумаг, деятельности управляющих компаний и специализированных депозитариев. Общее количество финансовых организаций и индивидуальных предпринимателей, являвшихся членами НАУФОР по состоянию </w:t>
        <w:br/>
        <w:t>на 31 декабря 2025 года, составляло 709.</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На конец 2025 года в НАУФОР работало 72 сотрудника, из которых 67 </w:t>
        <w:br/>
        <w:t>в центральном аппарате в Москве и 5 сотрудников в региональных представительствах, находящихся в городах Екатеринбург, Санкт-Петербург и Казань.</w:t>
      </w:r>
    </w:p>
    <w:p>
      <w:pPr>
        <w:pStyle w:val="Normal"/>
        <w:spacing w:lineRule="auto" w:line="360" w:before="0" w:after="0"/>
        <w:ind w:firstLine="567"/>
        <w:rPr>
          <w:rFonts w:ascii="Times New Roman" w:hAnsi="Times New Roman" w:cs="Times New Roman"/>
          <w:sz w:val="24"/>
          <w:szCs w:val="24"/>
        </w:rPr>
      </w:pPr>
      <w:bookmarkStart w:id="0" w:name="_Hlk226731959"/>
      <w:r>
        <w:rPr>
          <w:rFonts w:cs="Times New Roman" w:ascii="Times New Roman" w:hAnsi="Times New Roman"/>
          <w:sz w:val="24"/>
          <w:szCs w:val="24"/>
        </w:rPr>
        <w:t xml:space="preserve">В 2025 году в НАУФОР действовало 12 комитетов, специализирующихся </w:t>
        <w:br/>
        <w:t xml:space="preserve">на различных вопросах деятельности на финансовом рынке и состоящих </w:t>
        <w:br/>
        <w:t>из представителей членов НАУФОР, а также два Совета: Совет по регистраторской деятельности и Совет по ЦФА.</w:t>
      </w:r>
      <w:bookmarkEnd w:id="0"/>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Деятельность НАУФОР является многообразной, определяется законодательством, </w:t>
        <w:br/>
        <w:t>а также членами ассоциации, ежегодно утверждающими приоритетные направления ее деятельности и, на их основании – Советом директоров НАУФОР. В целом, миссией НАУФОР является создание регулятивных условий, позволяющих развиваться индустрии, представляемой НАУФОР, и финансовому рынку в целом. Создание таких условий предполагает, наравне с участием в нормативном регулировании, обеспечение защиты интересов инвесторов – клиентов и потенциальных клиентов членов НАУФОР, что НАУФОР считает условием для долгосрочного развития индустрии и отечественного финансового рынка и осуществляет как саморегулируемая организация.</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360" w:before="0" w:after="0"/>
        <w:ind w:start="567" w:end="284"/>
        <w:contextualSpacing/>
        <w:rPr>
          <w:rFonts w:ascii="Times New Roman" w:hAnsi="Times New Roman" w:cs="Times New Roman"/>
          <w:b/>
          <w:sz w:val="24"/>
          <w:szCs w:val="24"/>
        </w:rPr>
      </w:pPr>
      <w:r>
        <w:rPr>
          <w:rFonts w:cs="Times New Roman" w:ascii="Times New Roman" w:hAnsi="Times New Roman"/>
          <w:b/>
          <w:sz w:val="24"/>
          <w:szCs w:val="24"/>
        </w:rPr>
        <w:t xml:space="preserve">1. Участие в нормотворчестве </w:t>
      </w:r>
    </w:p>
    <w:p>
      <w:pPr>
        <w:pStyle w:val="Normal"/>
        <w:spacing w:lineRule="auto" w:line="360" w:before="0" w:after="0"/>
        <w:ind w:firstLine="567" w:end="284"/>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567" w:end="284"/>
        <w:rPr>
          <w:rFonts w:ascii="Times New Roman" w:hAnsi="Times New Roman" w:cs="Times New Roman"/>
          <w:sz w:val="24"/>
          <w:szCs w:val="24"/>
        </w:rPr>
      </w:pPr>
      <w:r>
        <w:rPr>
          <w:rFonts w:cs="Times New Roman" w:ascii="Times New Roman" w:hAnsi="Times New Roman"/>
          <w:sz w:val="24"/>
          <w:szCs w:val="24"/>
        </w:rPr>
        <w:t>НАУФОР участвует в нормотворчестве, взаимодействуя с государственными органами – Банком России, Министерством финансов РФ, Министерством экономического развития РФ, а также с Государственной Думой РФ, Советом Федерации РФ и Администрацией Президента РФ. Эта работа состоит в подготовке собственных нормативных инициатив, обсуждении нормативных инициатив и планов государственных органов.</w:t>
      </w:r>
    </w:p>
    <w:p>
      <w:pPr>
        <w:pStyle w:val="Normal"/>
        <w:spacing w:lineRule="auto" w:line="360" w:before="0" w:after="0"/>
        <w:ind w:firstLine="567" w:end="284"/>
        <w:rPr>
          <w:rFonts w:ascii="Times New Roman" w:hAnsi="Times New Roman" w:cs="Times New Roman"/>
          <w:sz w:val="24"/>
          <w:szCs w:val="24"/>
          <w:highlight w:val="yellow"/>
        </w:rPr>
      </w:pPr>
      <w:r>
        <w:rPr>
          <w:rFonts w:cs="Times New Roman" w:ascii="Times New Roman" w:hAnsi="Times New Roman"/>
          <w:sz w:val="24"/>
          <w:szCs w:val="24"/>
          <w:highlight w:val="yellow"/>
        </w:rPr>
      </w:r>
    </w:p>
    <w:p>
      <w:pPr>
        <w:pStyle w:val="Normal"/>
        <w:spacing w:lineRule="auto" w:line="360" w:before="0" w:after="0"/>
        <w:ind w:firstLine="567" w:end="284"/>
        <w:rPr>
          <w:rFonts w:ascii="Times New Roman" w:hAnsi="Times New Roman" w:cs="Times New Roman"/>
          <w:b/>
          <w:sz w:val="24"/>
          <w:szCs w:val="24"/>
        </w:rPr>
      </w:pPr>
      <w:r>
        <w:rPr>
          <w:rFonts w:cs="Times New Roman" w:ascii="Times New Roman" w:hAnsi="Times New Roman"/>
          <w:b/>
          <w:sz w:val="24"/>
          <w:szCs w:val="24"/>
        </w:rPr>
        <w:t xml:space="preserve">Комментарии к докладу Банка России «Информационная прозрачность </w:t>
        <w:br/>
        <w:t>на рынке ценных бумаг: эмитенты и условия первичного размещения их акций»</w:t>
      </w:r>
    </w:p>
    <w:p>
      <w:pPr>
        <w:pStyle w:val="Normal"/>
        <w:spacing w:lineRule="auto" w:line="360" w:before="0" w:after="0"/>
        <w:ind w:firstLine="567" w:end="284"/>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360" w:before="0" w:after="0"/>
        <w:ind w:firstLine="567" w:end="284"/>
        <w:rPr>
          <w:rFonts w:ascii="Times New Roman" w:hAnsi="Times New Roman" w:cs="Times New Roman"/>
          <w:sz w:val="24"/>
          <w:szCs w:val="24"/>
        </w:rPr>
      </w:pPr>
      <w:r>
        <w:rPr>
          <w:rFonts w:cs="Times New Roman" w:ascii="Times New Roman" w:hAnsi="Times New Roman"/>
          <w:sz w:val="24"/>
          <w:szCs w:val="24"/>
        </w:rPr>
        <w:t>В феврале 2025 года НАУФОР направила в Банк России комментарии к докладу «Информационная прозрачность на рынке ценных бумаг: эмитенты и условия первичного размещения их акций»</w:t>
      </w:r>
      <w:r>
        <w:rPr>
          <w:rStyle w:val="FootnoteReference"/>
          <w:rFonts w:cs="Times New Roman" w:ascii="Times New Roman" w:hAnsi="Times New Roman"/>
          <w:sz w:val="24"/>
          <w:szCs w:val="24"/>
        </w:rPr>
        <w:footnoteReference w:id="2"/>
      </w:r>
      <w:r>
        <w:rPr>
          <w:rFonts w:cs="Times New Roman" w:ascii="Times New Roman" w:hAnsi="Times New Roman"/>
          <w:sz w:val="24"/>
          <w:szCs w:val="24"/>
        </w:rPr>
        <w:t>.</w:t>
      </w:r>
    </w:p>
    <w:p>
      <w:pPr>
        <w:pStyle w:val="Normal"/>
        <w:spacing w:lineRule="auto" w:line="360" w:before="0" w:after="0"/>
        <w:ind w:firstLine="567" w:end="284"/>
        <w:rPr>
          <w:rFonts w:ascii="Times New Roman" w:hAnsi="Times New Roman" w:cs="Times New Roman"/>
          <w:sz w:val="24"/>
          <w:szCs w:val="24"/>
        </w:rPr>
      </w:pPr>
      <w:r>
        <w:rPr>
          <w:rFonts w:cs="Times New Roman" w:ascii="Times New Roman" w:hAnsi="Times New Roman"/>
          <w:sz w:val="24"/>
          <w:szCs w:val="24"/>
        </w:rPr>
        <w:t xml:space="preserve">НАУФОР поддержала предложения по повышению информационной открытости эмитентов, установлению рамочных требований к структуре годового отчета акционерного общества, а также об обязательном раскрытии эмитентом информации </w:t>
        <w:br/>
        <w:t xml:space="preserve">о фактическом распределении акций среди различных категорий инвесторов по итогам состоявшегося размещения и информации о механизмах стабилизации. </w:t>
      </w:r>
    </w:p>
    <w:p>
      <w:pPr>
        <w:pStyle w:val="Normal"/>
        <w:spacing w:lineRule="auto" w:line="360" w:before="0" w:after="0"/>
        <w:ind w:firstLine="567" w:end="284"/>
        <w:rPr>
          <w:rFonts w:ascii="Times New Roman" w:hAnsi="Times New Roman" w:cs="Times New Roman"/>
          <w:sz w:val="24"/>
          <w:szCs w:val="24"/>
        </w:rPr>
      </w:pPr>
      <w:r>
        <w:rPr>
          <w:rFonts w:cs="Times New Roman" w:ascii="Times New Roman" w:hAnsi="Times New Roman"/>
          <w:sz w:val="24"/>
          <w:szCs w:val="24"/>
        </w:rPr>
        <w:t xml:space="preserve">НАУФОР выступила против введения отдельного статуса «организатор размещения», как нового субъекта в законодательстве о рынке ценных бумаг, против введения солидарной или субсидиарной ответственности организатора размещения </w:t>
        <w:br/>
        <w:t>за содержание проспекта, а также против введения требования об обязательном проведении независимой оценки и раскрытии как минимум двух аналитических отчетов, содержащих оценку справедливой стоимости компании.</w:t>
      </w:r>
    </w:p>
    <w:p>
      <w:pPr>
        <w:pStyle w:val="Normal"/>
        <w:spacing w:lineRule="auto" w:line="360" w:before="0" w:after="0"/>
        <w:ind w:firstLine="567" w:end="284"/>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360" w:before="0" w:after="0"/>
        <w:ind w:firstLine="567" w:end="284"/>
        <w:rPr>
          <w:rFonts w:ascii="Times New Roman" w:hAnsi="Times New Roman" w:cs="Times New Roman"/>
          <w:i/>
          <w:i/>
          <w:sz w:val="24"/>
          <w:szCs w:val="24"/>
        </w:rPr>
      </w:pPr>
      <w:r>
        <w:rPr>
          <w:rFonts w:cs="Times New Roman" w:ascii="Times New Roman" w:hAnsi="Times New Roman"/>
          <w:i/>
          <w:sz w:val="24"/>
          <w:szCs w:val="24"/>
        </w:rPr>
        <w:t>Справочно: тема оптимизации процедуры выпуска ценных бумаг получила развитие в 2026 году при обсуждении доклада Банка России «Допуск финансовых инструментов на рынок: направления оптимизации». НАУФОР направила свои комментарии</w:t>
      </w:r>
      <w:r>
        <w:rPr>
          <w:rStyle w:val="FootnoteReference"/>
          <w:rFonts w:cs="Times New Roman" w:ascii="Times New Roman" w:hAnsi="Times New Roman"/>
          <w:i/>
          <w:sz w:val="24"/>
          <w:szCs w:val="24"/>
        </w:rPr>
        <w:footnoteReference w:id="3"/>
      </w:r>
      <w:r>
        <w:rPr>
          <w:rFonts w:cs="Times New Roman" w:ascii="Times New Roman" w:hAnsi="Times New Roman"/>
          <w:i/>
          <w:sz w:val="24"/>
          <w:szCs w:val="24"/>
        </w:rPr>
        <w:t xml:space="preserve"> к докладу, в которых предложила </w:t>
      </w:r>
      <w:r>
        <w:rPr>
          <w:rFonts w:cs="Times New Roman" w:ascii="Times New Roman" w:hAnsi="Times New Roman"/>
          <w:i/>
          <w:color w:val="1A1A1A"/>
          <w:sz w:val="24"/>
          <w:szCs w:val="24"/>
          <w:shd w:fill="FFFFFF" w:val="clear"/>
        </w:rPr>
        <w:t xml:space="preserve">передать функцию по регистрации выпусков структурных облигаций биржам, если их обращение предусмотрено на биржевых торгах, а внебиржевых структурных облигаций — не только центральному депозитарию, но и иным депозитариям и регистраторам, осуществляющим учет прав на такие облигации. Ассоциация поддержала предложение освободить от регистрации выпуски корпоративных облигаций, если их объем не превышают 3 млрд рублей в год, а также предложила освободить их от составления и регистрации проспекта (для банковских облигаций применять аналогичный подход, если объем выпуска не превышает </w:t>
      </w:r>
      <w:r>
        <w:rPr>
          <w:rFonts w:cs="Times New Roman" w:ascii="Times New Roman" w:hAnsi="Times New Roman"/>
          <w:i/>
          <w:color w:val="01161E"/>
          <w:sz w:val="24"/>
          <w:szCs w:val="24"/>
          <w:shd w:fill="FFFFFF" w:val="clear"/>
        </w:rPr>
        <w:t>10 млрд рублей в год).</w:t>
      </w:r>
      <w:r>
        <w:rPr>
          <w:rFonts w:cs="Times New Roman" w:ascii="Times New Roman" w:hAnsi="Times New Roman"/>
          <w:i/>
          <w:color w:val="1A1A1A"/>
          <w:sz w:val="24"/>
          <w:szCs w:val="24"/>
          <w:shd w:fill="FFFFFF" w:val="clear"/>
        </w:rPr>
        <w:t xml:space="preserve"> Также, по мнению НАУФОР, возможно сократить до 3 рабочих дней срок реализации преимущественного права акционеров </w:t>
        <w:br/>
        <w:t>на приобретение размещаемых дополнительных акций и эмиссионных ценных бумаг, конвертируемых в акции, в случае их размещения по открытой подписке, если цена размещения или порядок ее определения не установлены решением о размещении акций.</w:t>
      </w:r>
      <w:r>
        <w:rPr>
          <w:rFonts w:cs="Times New Roman" w:ascii="Times New Roman" w:hAnsi="Times New Roman"/>
          <w:i/>
          <w:color w:val="1A1A1A"/>
          <w:sz w:val="24"/>
          <w:szCs w:val="24"/>
        </w:rPr>
        <w:br/>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t>Признание лиц квалифицированными инвесторами</w:t>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В марте 2025 года НАУФОР направила в Банк России замечания</w:t>
      </w:r>
      <w:r>
        <w:rPr>
          <w:rStyle w:val="FootnoteReference"/>
          <w:rFonts w:cs="Times New Roman" w:ascii="Times New Roman" w:hAnsi="Times New Roman"/>
          <w:sz w:val="24"/>
          <w:szCs w:val="24"/>
        </w:rPr>
        <w:footnoteReference w:id="4"/>
      </w:r>
      <w:r>
        <w:rPr>
          <w:rFonts w:cs="Times New Roman" w:ascii="Times New Roman" w:hAnsi="Times New Roman"/>
          <w:sz w:val="24"/>
          <w:szCs w:val="24"/>
        </w:rPr>
        <w:t xml:space="preserve"> к проекту Указания Банка России о признании лиц квалифицированными инвесторами, которым конкретизируются предусмотренные законом критерии для признания лиц квалифицированными инвесторами. НАУФОР предложила сохранить имущественный критерий при комбинации его с образовательным на уровне 6 млн рублей. На этом же уровне предлагалось установить размер ежемесячного дохода, а при его комбинировании с образовательным критерием, наличием научной степени или подтверждением наличия </w:t>
        <w:br/>
        <w:t>у физического лица знаний уменьшить его до 3 млн рублей. Ассоциация предложила расширить перечень финансовых инструментов, в отношении которых возможно учитывать знания путем проведения специального тестирования, а также дополнить перечень международных сертификатов, на основании которых лицо может быть признано квалифицированным инвестором.</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В 2025 году НАУФОР разработала механизм проверки знаний физических лиц при признании их квалифицированными инвесторами, использование которого позволит учитывать меньший имущественный критерий в отношении трех финансовых инструментов: инвестиционных паев закрытых и интервальных ПИФ, структурных облигаций и бессрочных облигаций. Данный механизм планируется установить в базовых стандартах защиты прав и интересов получателей финансовых услуг. Также НАУФОР продолжила консультации с Банком России по поводу включения в перечень финансовых инструментов, в отношении которых может использоваться такой механизм, облигаций </w:t>
        <w:br/>
        <w:t>со структурным доходом с полной защитой вложенного капитала и внебиржевых производных финансовых инструментов.</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t xml:space="preserve">Индивидуальные инвестиционные счета </w:t>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В 2025 году НАУФОР продолжила дискуссию с заинтересованными органами государственной власти о повышении привлекательности ИИС 3 типа. В числе предложенных ассоциацией мер: </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разрешить зачислять на банковские счета инвесторов купоны по облигациям и периодические выплаты по инвестиционным паям, которые учитываются на ИИС, что позволит по усмотрению граждан направлять, хотя и с налогообложением, доходы </w:t>
        <w:br/>
        <w:t>от ценных бумаг на ИИС на текущее потребление;</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отказаться от запланированного после 2025 года увеличения минимального срока ИИС. Для ИИС, на которых помимо денежных средств учитываются исключительно паи открытых, интервальных или биржевых ПИФ, снизить срок до 3 лет;</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сохранить права инвестора на полученные вычеты на взносы при закрытии ИИС </w:t>
        <w:br/>
        <w:t xml:space="preserve">по истечении трех лет, а по прошествии 5 лет - как на эти вычеты, так и на вычеты </w:t>
        <w:br/>
        <w:t>на полученный инвестиционный доход;</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ввести «семейный вычет», позволяющий увеличить до 1 млн рублей сумму налогового вычета налогоплательщика, за счет которого пополняются ИИС членов его семьи (супруг и дети), а также предоставить возможность использования для пополнения ИИС средства материнского капитала (в конечном итоге законом был реализован более ограниченный подход, позволяющий финансировать на сумму не более 100 тыс. рублей только ИИС ребенка и только при условии финансирования родителем в полном объеме собственного продукта долгосрочных сбережений (ИИС, ПДС или ДСЖ);</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упростить процедуры «конвертации» ИИС-1 и 2 в ИИС-3 путем подачи заявления через брокера и управляющего, а также создать механизм информационного обмена налоговых органов с налоговыми агентами о самостоятельной подаче заявления </w:t>
        <w:br/>
        <w:t>о конвертации в целях упрощения взаимодействия с налоговыми органами и исключения неясностей относительно того, правила налогообложения какого вида ИИС брокер и управляющий должны применять;</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разрешить применять инвестиционный налоговый вычет за долгосрочное (не менее </w:t>
        <w:br/>
        <w:t>3 лет) владение ценными бумагами в случае, если ценные бумаги были переведены с ИИС на обычный счет и учитываются уже на нем более 3 лет;</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предоставить возможность учета на ИИС-ПИФ инвестиционных паев ЗПИФ недвижимости.</w:t>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t>Дискуссия о налогообложении ЗПИФ</w:t>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В 2025 году Минфин России и налоговые органы вернулись к обсуждению возможности изменения действующей модели налогообложения ЗПИФ, при которой фонды не являются плательщиком налога на прибыль, и перехода к модели налогообложения на уровне фонда.</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По мнению НАУФОР принципиально важным является сохранение экономической модели коллективных инвестиций, которая построена на налоговой нейтральности фонда. Вопросы, связанные с налогообложением ЗПИФ, обсуждались с участниками рынка, Банком России, Минфином и иными заинтересованными органами государственной власти.</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t>Применение законодательства о защите прав потребителей к договорам о брокерском обслуживании</w:t>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Весной 2025 года в Государственную Думу РФ был внесен законопроект </w:t>
        <w:br/>
        <w:t xml:space="preserve">о применении законодательства Российской Федерации о защите прав потребителей </w:t>
        <w:br/>
        <w:t xml:space="preserve">к договорам о брокерском обслуживании физических лиц. НАУФОР концептуально </w:t>
        <w:br/>
        <w:t>не поддержала законопроект и направила свою позицию о необходимости сохранения действующего регулирования брокерской деятельности. В декабре 2025 года законопроект был отклонен.</w:t>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t xml:space="preserve">Передача части функций от управляющей компании специализированному депозитарию </w:t>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В мае 2025 года был принят закон</w:t>
      </w:r>
      <w:r>
        <w:rPr>
          <w:rStyle w:val="FootnoteReference"/>
          <w:rFonts w:cs="Times New Roman" w:ascii="Times New Roman" w:hAnsi="Times New Roman"/>
          <w:sz w:val="24"/>
          <w:szCs w:val="24"/>
        </w:rPr>
        <w:footnoteReference w:id="5"/>
      </w:r>
      <w:r>
        <w:rPr>
          <w:rFonts w:cs="Times New Roman" w:ascii="Times New Roman" w:hAnsi="Times New Roman"/>
          <w:sz w:val="24"/>
          <w:szCs w:val="24"/>
        </w:rPr>
        <w:t>, предоставляющий возможность управляющим компаниям на основании договора передать специализированным депозитариям исполнение ряда технических обязанностей, таких как учет операций с имуществом, составляющим активы паевого инвестиционного фонда, определение стоимости чистых активов паевого инвестиционного фонда и расчетной стоимости одного инвестиционного пая, учет имущества, переданного в оплату инвестиционных паев.</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Эти изменения входили в число приоритетных направлений деятельности НАУФОР. После их реализации ассоциация работала над порядком верификации имущества, вопросами ответственности за расчет СЧА и подготовки отчетности УК при передаче этих функций. Принятие закона позволит УК сосредоточиться на основных функциях, связанных с управлением активами клиентов и разработкой новых продуктов, делегировав отдельные, ранее дублирующиеся функции специализированному депозитарию, и снизить тем самым издержки. </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Также в течение 2025 года НАУФОР обсуждала с Министерством финансов РФ и Банком России необходимость освобождения реализации указанных услуг специализированных депозитариев от обложения налогом на добавленную стоимость.</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567"/>
        <w:rPr>
          <w:rFonts w:ascii="Times New Roman" w:hAnsi="Times New Roman" w:cs="Times New Roman"/>
          <w:i/>
          <w:i/>
          <w:sz w:val="24"/>
          <w:szCs w:val="24"/>
        </w:rPr>
      </w:pPr>
      <w:r>
        <w:rPr>
          <w:rFonts w:cs="Times New Roman" w:ascii="Times New Roman" w:hAnsi="Times New Roman"/>
          <w:i/>
          <w:sz w:val="24"/>
          <w:szCs w:val="24"/>
        </w:rPr>
        <w:t>Справочно: 17 апреля 2026 года НАУФОР было получено разъяснение Министерства финансов РФ</w:t>
      </w:r>
      <w:r>
        <w:rPr>
          <w:rStyle w:val="FootnoteReference"/>
          <w:rFonts w:cs="Times New Roman" w:ascii="Times New Roman" w:hAnsi="Times New Roman"/>
          <w:i/>
          <w:sz w:val="24"/>
          <w:szCs w:val="24"/>
        </w:rPr>
        <w:footnoteReference w:id="6"/>
      </w:r>
      <w:r>
        <w:rPr>
          <w:rFonts w:cs="Times New Roman" w:ascii="Times New Roman" w:hAnsi="Times New Roman"/>
          <w:i/>
          <w:sz w:val="24"/>
          <w:szCs w:val="24"/>
        </w:rPr>
        <w:t xml:space="preserve"> о том, что исполнение специализированными депозитариями новых функций по учету операций с имуществом ПИФ и расчету СЧА, которые предусмотрены вступившими поправками в законодательство об инвестиционных фондах, не будет облагаться НДС.</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t xml:space="preserve">Комментарии к докладу Банка России «Депозитарный учет: новый взгляд </w:t>
        <w:br/>
        <w:t>на привычные вещи»</w:t>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В июле 2025 года НАУФОР направила в Банк России комментарии к докладу регулятора «Депозитарный учет: новый взгляд на привычные вещи»</w:t>
      </w:r>
      <w:r>
        <w:rPr>
          <w:rStyle w:val="FootnoteReference"/>
          <w:rFonts w:cs="Times New Roman" w:ascii="Times New Roman" w:hAnsi="Times New Roman"/>
          <w:sz w:val="24"/>
          <w:szCs w:val="24"/>
        </w:rPr>
        <w:footnoteReference w:id="7"/>
      </w:r>
      <w:r>
        <w:rPr>
          <w:rFonts w:cs="Times New Roman" w:ascii="Times New Roman" w:hAnsi="Times New Roman"/>
          <w:sz w:val="24"/>
          <w:szCs w:val="24"/>
        </w:rPr>
        <w:t>.</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НАУФОР поддержала предложение об обязательном информировании инвесторов </w:t>
        <w:br/>
        <w:t>о рисках, связанных с иностранной юрисдикцией эмитента и последствиях реализации такого риска, а также более четкое закрепление в законодательстве принципа освобождения российских депозитариев от ответственности за действия иностранных государств и финансовых организаций, которые находятся за пределами их контроля.</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НАУФОР выступила против предложенного в докладе концептуального пересмотра механизма учета прав на иностранные ценные бумаги, в том числе против отказа </w:t>
        <w:br/>
        <w:t xml:space="preserve">от признания российских депозитарных расписок эмиссионными ценными бумагами, </w:t>
        <w:br/>
        <w:t>а также предложила не ограничивать возможность маркированного оборота иностранных ценных бумаг внутри российского номинального держателя.</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t>Система возмещения стоимости имущества, учитываемого на ИИС</w:t>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В 2025 году НАУФОР принимала участие в доработке законопроекта, предусматривающего введение механизма возмещения стоимости имущества, учитываемого на ИИС.</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31 июля Президентом РФ был подписан Федеральный закон № 331-ФЗ «О внесении изменений в отдельные законодательные акты Российской Федерации и о системе возмещения стоимости имущества, учтенного на индивидуальных инвестиционных счетах». Во исполнение этого закона начал работу Фонд гарантирования индивидуальных инвестиционных счетов. Законом предусматривается, что основанием для выплаты компенсации является неполучение физическим лицом в полном объеме имущества, причитающегося ему в связи с прекращением договора о ведении ИИС в связи </w:t>
        <w:br/>
        <w:t>с банкротством брокера, управляющего или управляющей компании открытого паевого инвестиционного фонда. Участие брокеров, управляющих и управляющих компаний ОПИФ в системе возмещения стоимости имущества на ИИС является добровольным.</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Требования по раскрытию и предоставлению информации об участии указанных лиц в системе возмещения стоимости имущества, учитываемого на ИИС, установлены внутренним стандартом НАУФОР «Информирование об участии (неучастии), прекращении участия в системе возмещения стоимости имущества, которое учтено </w:t>
        <w:br/>
        <w:t>на индивидуальных инвестиционных счетах, и последствиях такого прекращения», который вступает в силу с 1 июля 2026 года.</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567"/>
        <w:rPr>
          <w:rFonts w:ascii="Times New Roman" w:hAnsi="Times New Roman" w:cs="Times New Roman"/>
          <w:i/>
          <w:i/>
          <w:sz w:val="24"/>
          <w:szCs w:val="24"/>
        </w:rPr>
      </w:pPr>
      <w:r>
        <w:rPr>
          <w:rFonts w:cs="Times New Roman" w:ascii="Times New Roman" w:hAnsi="Times New Roman"/>
          <w:i/>
          <w:sz w:val="24"/>
          <w:szCs w:val="24"/>
        </w:rPr>
        <w:t>Справочно: по состоянию на 31 мая 2026 года участниками системы гарантирования ИИС являются 4 брокера и 3 управляющие компании.</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t>Комментарии к докладу Банка России «Перспективные направления развития регулирования розничных ПИФ»</w:t>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В сентябре 2025 года НАУФОР направила предложения к докладу регулятора «Перспективные направления развития регулирования розничных ПИФ»</w:t>
      </w:r>
      <w:r>
        <w:rPr>
          <w:rStyle w:val="FootnoteReference"/>
          <w:rFonts w:cs="Times New Roman" w:ascii="Times New Roman" w:hAnsi="Times New Roman"/>
          <w:sz w:val="24"/>
          <w:szCs w:val="24"/>
        </w:rPr>
        <w:footnoteReference w:id="8"/>
      </w:r>
      <w:r>
        <w:rPr>
          <w:rFonts w:cs="Times New Roman" w:ascii="Times New Roman" w:hAnsi="Times New Roman"/>
          <w:sz w:val="24"/>
          <w:szCs w:val="24"/>
        </w:rPr>
        <w:t xml:space="preserve">. </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Ассоциация предложила дополнить инициативы развития индустрии розничных ПИФ дополнительным налоговым стимулированием инвестиций граждан на ИИС через ПИФ, выступила за расширение лимитов концентрации для рыночных ПИФ и упрощение инвестиционного профилирования при управлении, предполагающем инвестиции только в паи ПИФ. НАУФОР предложила предоставить УК для хранения активов ПИФ право открывать счета за рубежом без указания «ДУ ПИФ», обеспечить выплаты от погашения инвестиционных паев ПИФ-ДСЖ через счета страховой организации для последующего перечисления клиентам-физическим лицам.</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НАУФОР поддержала идею разрешить инвестировать часть средств ПИФ рыночных финансовых инструментов в ценные бумаги, не допущенные к биржевым торгам, </w:t>
        <w:br/>
        <w:t xml:space="preserve">в инвестиционные паи интервальных и закрытых ПИФ, предназначенные для неквалифицированных инвесторов; а также разрешение приобретать ЦФА в состав активов ПИФ, объединять биржевые ПИФ, в определенных случаях допускать отказ </w:t>
        <w:br/>
        <w:t>от формирования ПИФ.</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t>Возможность выдачи инвестиционных паев в режиме Т+0</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567"/>
        <w:rPr>
          <w:rFonts w:ascii="Times New Roman" w:hAnsi="Times New Roman" w:eastAsia="Times New Roman" w:cs="Times New Roman"/>
          <w:sz w:val="24"/>
          <w:szCs w:val="24"/>
        </w:rPr>
      </w:pPr>
      <w:r>
        <w:rPr>
          <w:rFonts w:cs="Times New Roman" w:ascii="Times New Roman" w:hAnsi="Times New Roman"/>
          <w:sz w:val="24"/>
          <w:szCs w:val="24"/>
        </w:rPr>
        <w:t xml:space="preserve">Важным направление работы ассоциации в сфере коллективных инвестиций </w:t>
      </w:r>
      <w:r>
        <w:rPr>
          <w:rFonts w:eastAsia="Times New Roman" w:cs="Times New Roman" w:ascii="Times New Roman" w:hAnsi="Times New Roman"/>
          <w:sz w:val="24"/>
          <w:szCs w:val="24"/>
        </w:rPr>
        <w:t xml:space="preserve">стал проект перехода к операциям с паями в режиме Т+0, когда инвестор получает паи в день подачи заявки и оплаты. </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НАУФОР сформировала рабочую группу с участием представителей управляющих компаний, банков, специализированных депозитариев, Московской биржи и НРД, которой была выработана целевая модель, предусматривающая исполнение заявок, обеспеченных денежными средствами, внутри операционного дня. Она предусматривает установление расчетного времени (cut-off) на 14:00 для расчетов и определения стоимости активов. </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t>Разблокировка «замороженных» активов</w:t>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В 2025 году НАУФОР продолжила взаимодействие с Банком России и Министерством финансов РФ в целях смягчения негативных последствий «заморозки»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в иностранной учетной инфраструктуре активов российских частных инвесторов. </w:t>
        <w:br/>
        <w:t xml:space="preserve">В сентябре 2025 года НАУФОР подготовила и направила органам государственной власти предложения по возобновлению механизма получения российскими инвесторами причитающихся им выплат по заблокированным иностранным ценным бумагам, а также выплат по российским бумагам, права на которые учитываются в иностранной учетной инфраструктуре. </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t>Основные направления развития финансового рынка на 2026 год и период 2027-2028</w:t>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Осенью 2025 года НАУФОР направила в Банк России комментарии к проекту «Основных направлений развития финансового рынка Российской Федерации на 2026 год и период 2027 и 2028 годов»</w:t>
      </w:r>
      <w:r>
        <w:rPr>
          <w:rStyle w:val="FootnoteReference"/>
          <w:rFonts w:cs="Times New Roman" w:ascii="Times New Roman" w:hAnsi="Times New Roman"/>
          <w:sz w:val="24"/>
          <w:szCs w:val="24"/>
        </w:rPr>
        <w:footnoteReference w:id="9"/>
      </w:r>
      <w:r>
        <w:rPr>
          <w:rFonts w:cs="Times New Roman" w:ascii="Times New Roman" w:hAnsi="Times New Roman"/>
          <w:sz w:val="24"/>
          <w:szCs w:val="24"/>
        </w:rPr>
        <w:t xml:space="preserve">, в которых представила ряд предложений </w:t>
        <w:br/>
        <w:t>по совершенствованию механизма индивидуальных инвестиционных счетов, меры налогового стимулирования, включая освобождение от налога доходов в виде дивидендов, купонов и периодических платежей по паям ПИФ при долгосрочном (от пяти лет) владении ценными бумагами.</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НАУФОР представила комплекс мер для повышения привлекательности пассивного инвестирования, увеличения разнообразия доступных инвесторам инвестиционных стратегий в рамках ПИФ.</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НАУФОР поддержала гармонизацию регулирования рынка ЦФА с рынком классических финансовых инструментов и выступила против предложения о выделении еще одной группы инвесторов - «суперквалифицированных» для инвестиций в цифровую валюту.</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НАУФОР поддержала предложенное изменение действующего механизма управления рисками НПФ и меры, позволяющие НПФ предлагать своим клиентам разные портфели в зависимости от возраста, с целью активизации НПФ на рынке акций.</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t>Противодействие неправомерному использованию инсайдерской информации и манипулированию рынком</w:t>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В связи с внесением в ноябре 2025 года в Государственную Думу РФ пакета законопроектов, направленных на комплексное изменение регулирования действующей системы противодействия неправомерному использованию инсайдерской информации и манипулированию рынком, НАУФОР подготовила и направила комментарии</w:t>
      </w:r>
      <w:r>
        <w:rPr>
          <w:rStyle w:val="FootnoteReference"/>
          <w:rFonts w:cs="Times New Roman" w:ascii="Times New Roman" w:hAnsi="Times New Roman"/>
          <w:sz w:val="24"/>
          <w:szCs w:val="24"/>
        </w:rPr>
        <w:footnoteReference w:id="10"/>
      </w:r>
      <w:r>
        <w:rPr>
          <w:rFonts w:cs="Times New Roman" w:ascii="Times New Roman" w:hAnsi="Times New Roman"/>
          <w:sz w:val="24"/>
          <w:szCs w:val="24"/>
        </w:rPr>
        <w:t xml:space="preserve"> </w:t>
        <w:br/>
        <w:t>к законопроектам, в которых обратила внимание на необходимость доработки их отдельных положений в целях исключения негативного влияния на развитие финансового рынка и неоправданного повышения правовых рисков.</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В своем письме в Государственную Думу РФ ассоциация возражала против исключения из определения «инсайдерская информация» признаков «точности и конкретности» сведений, снижающих юридическую определенность данного понятия и повышающего риск ответственности за несоблюдение соответствующих правил. Кроме того, при дальнейшей работе над законопроектами НАУФОР просила учесть свои комментарии в части необходимости уточнения проектируемого порядка утверждения перечней инсайдерской информации, а также механизма сбора и раскрытия информации </w:t>
        <w:br/>
        <w:t>о сделках инсайдеров.</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t>Увеличение лимитов концентрации для УК ПИФ</w:t>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В декабре 2025 года Банк России предложил диверсифицировать вложения ПИФ и представил к обсуждению проект изменений в Указание № 4129-У о составе и структуре активов ПИФ. </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НАУФОР поддержала</w:t>
      </w:r>
      <w:r>
        <w:rPr>
          <w:rStyle w:val="FootnoteReference"/>
          <w:rFonts w:cs="Times New Roman" w:ascii="Times New Roman" w:hAnsi="Times New Roman"/>
          <w:sz w:val="24"/>
          <w:szCs w:val="24"/>
        </w:rPr>
        <w:footnoteReference w:id="11"/>
      </w:r>
      <w:r>
        <w:rPr>
          <w:rFonts w:cs="Times New Roman" w:ascii="Times New Roman" w:hAnsi="Times New Roman"/>
          <w:sz w:val="24"/>
          <w:szCs w:val="24"/>
        </w:rPr>
        <w:t xml:space="preserve"> предложенные проектом возможности инвестировать средства ПИФ, паи которых предназначены для квалифицированных инвесторов, </w:t>
        <w:br/>
        <w:t>в инструменты, связанные с цифровой валютой, и расширение линейки инструментов для розничных ПИФ, но выступила против ужесточения норматива концентрации на одного эмитента. НАУФОР пояснила, что это приведёт к издержкам для розничных инвесторов: около 10% их портфелей могут быть принудительно переведены в менее прибыльные и менее ликвидные инструменты с большей волатильностью. НАУФОР также обращала внимание на отсутствие полной информации о связанности лиц в силу возможности для эмитентов не раскрывать соответствующую информацию. В целях выработки единообразного подхода и формализации критериев связанности эмитентов НАУФОР была создана рабочая группа, задача которой заключается в разработке внутреннего стандарта</w:t>
      </w:r>
      <w:r>
        <w:rPr>
          <w:rFonts w:eastAsia="Times New Roman" w:cs="Times New Roman" w:ascii="Times New Roman" w:hAnsi="Times New Roman"/>
          <w:color w:val="1A1A1A"/>
          <w:sz w:val="24"/>
          <w:szCs w:val="24"/>
        </w:rPr>
        <w:t>, который должен закрепить понятные и воспроизводимые правила определения связанности - формализовать критерии контроля и значительного влияния, определить допустимые источники информации и алгоритмы подтверждения связей между контрагентами.</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567"/>
        <w:rPr>
          <w:rFonts w:ascii="Times New Roman" w:hAnsi="Times New Roman" w:cs="Times New Roman"/>
          <w:b/>
          <w:bCs/>
          <w:sz w:val="24"/>
          <w:szCs w:val="24"/>
        </w:rPr>
      </w:pPr>
      <w:r>
        <w:rPr>
          <w:rFonts w:cs="Times New Roman" w:ascii="Times New Roman" w:hAnsi="Times New Roman"/>
          <w:b/>
          <w:bCs/>
          <w:sz w:val="24"/>
          <w:szCs w:val="24"/>
        </w:rPr>
        <w:t>Дискуссия о развитии регулирования цифровых активов</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В 2025 году НАУФОР продолжила дискуссию с Банком России и иными заинтересованными органами государственной власти о развитии регулирования цифровых активов. </w:t>
      </w:r>
    </w:p>
    <w:p>
      <w:pPr>
        <w:pStyle w:val="Normal"/>
        <w:spacing w:lineRule="auto" w:line="360" w:before="0" w:after="0"/>
        <w:ind w:firstLine="567"/>
        <w:rPr/>
      </w:pPr>
      <w:r>
        <w:rPr>
          <w:rFonts w:cs="Times New Roman" w:ascii="Times New Roman" w:hAnsi="Times New Roman"/>
          <w:sz w:val="24"/>
          <w:szCs w:val="24"/>
        </w:rPr>
        <w:t>По мнению НАУФОР, при регулировании ЦФА следует руководствоваться общими подходами к регулированию рынка традиционных финансовых инструментов. При формировании регуляторных подходов следует различать цифровые активы, аналогичные эмиссионным ценным бумагам и финансовым инструментам, и не имеющие предусмотренных законодательством о рынке ценных бумаг признаков финансовых инструментов. Необходима гармонизация регуляторных принципов рынка классических финансовых инструментов и рынка цифровых активов, данный подход, в том числе, предполагает пересмотр и возможное смягчение регулирования, отмену избыточных регуляторных ограничений для традиционных финансовых инструментов на основе опыта функционирования рынка цифровых активов. Также необходим допуск финансовых посредников к сделкам с цифровыми активами (возможность их приобретение в состав ПИФ, совершения маржинальных сделок с такими активами). Для выпуска долговых финансовых инструментов в форме цифровых активов НАУФОР считает необходимым распространить в отношении таких инструментов режим налогообложения, аналогичный облигациям.</w:t>
      </w:r>
    </w:p>
    <w:p>
      <w:pPr>
        <w:pStyle w:val="Normal"/>
        <w:spacing w:lineRule="auto" w:line="360" w:before="0" w:after="0"/>
        <w:ind w:firstLine="567"/>
        <w:rPr/>
      </w:pPr>
      <w:r>
        <w:rPr>
          <w:rFonts w:cs="Times New Roman" w:ascii="Times New Roman" w:hAnsi="Times New Roman"/>
          <w:sz w:val="24"/>
          <w:szCs w:val="24"/>
        </w:rPr>
        <w:t>В декабре 2025 года были приняты изменения</w:t>
      </w:r>
      <w:r>
        <w:rPr>
          <w:rStyle w:val="FootnoteReference"/>
          <w:rFonts w:cs="Times New Roman" w:ascii="Times New Roman" w:hAnsi="Times New Roman"/>
          <w:sz w:val="24"/>
          <w:szCs w:val="24"/>
        </w:rPr>
        <w:footnoteReference w:id="12"/>
      </w:r>
      <w:r>
        <w:rPr>
          <w:rFonts w:cs="Times New Roman" w:ascii="Times New Roman" w:hAnsi="Times New Roman"/>
          <w:sz w:val="24"/>
          <w:szCs w:val="24"/>
        </w:rPr>
        <w:t xml:space="preserve"> в законодательство, вводящие понятие долговых цифровых финансовых активов и устанавливающие правила их выпуска. Наличие такой категории позволит ввести регулирование для долговых цифровых финансовых активов аналогичное регулированию облигаций, в том числе соответствующие правила налогообложения операций с ними.</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567"/>
        <w:rPr>
          <w:rFonts w:ascii="Times New Roman" w:hAnsi="Times New Roman" w:cs="Times New Roman"/>
          <w:b/>
          <w:bCs/>
          <w:sz w:val="24"/>
          <w:szCs w:val="24"/>
        </w:rPr>
      </w:pPr>
      <w:r>
        <w:rPr>
          <w:rFonts w:cs="Times New Roman" w:ascii="Times New Roman" w:hAnsi="Times New Roman"/>
          <w:b/>
          <w:bCs/>
          <w:sz w:val="24"/>
          <w:szCs w:val="24"/>
        </w:rPr>
        <w:t>Дискуссия о концепции открытых API</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В 2025 году НАУФОР продолжила дискуссию с Банком России о концепции открытых </w:t>
      </w:r>
      <w:r>
        <w:rPr>
          <w:rFonts w:cs="Times New Roman" w:ascii="Times New Roman" w:hAnsi="Times New Roman"/>
          <w:sz w:val="24"/>
          <w:szCs w:val="24"/>
          <w:lang w:val="en-US"/>
        </w:rPr>
        <w:t>API</w:t>
      </w:r>
      <w:r>
        <w:rPr>
          <w:rFonts w:cs="Times New Roman" w:ascii="Times New Roman" w:hAnsi="Times New Roman"/>
          <w:sz w:val="24"/>
          <w:szCs w:val="24"/>
        </w:rPr>
        <w:t xml:space="preserve">. В соответствии с материалами, предоставленными Банком России для обсуждения с профессиональным сообществом, начиная с 2026 года предполагалось обязательное использование открытых API пятью крупнейшими брокерскими компаниями. НАУФОР выразила несогласие со сроками введения обязательного использования открытых API, посчитав необходимым продолжить обсуждение </w:t>
        <w:br/>
        <w:t>с профессиональным сообществом целей внедрения открытых API в инвестиционном секторе, моделей взаимодействия участников информационного обмена и состава подлежащих обмену данных.</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По мнению НАУФОР, в настоящее время разработка спецификаций и набора подлежащих обмену данных, определение способов взаимодействия участников среды открытых API на фондовом рынке не представляется возможным. Отсутствие ясности </w:t>
        <w:br/>
        <w:t>в отношении моделей создания, управления и финансирования оператора среды открытых API, сроков введения в эксплуатацию платформы согласий, разработки нормативной базы для функционирования открытых API в инвестиционном секторе существенно усложняет оценку целесообразности и планирование соответствующих работ участниками фондового рынка. Также следует отметить отсутствие метрик оценки эффективности внедрения открытых API в инвестиционном секторе, и отсутствие примеров успешной реализации подобных инициатив в иных юрисдикциях.</w:t>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t xml:space="preserve">Изменения в Налоговый кодекс в части уточнения порядка применения налоговых льгот </w:t>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В 2025 году НАУФОР продолжала обсуждение с Министерством финансов РФ, Государственной Думой РФ необходимость совершенствования порядка освобождения </w:t>
        <w:br/>
        <w:t xml:space="preserve">от налогообложения доходов от реализации принадлежащих налогоплательщику - физическому лицу ценных бумаг высокотехнологичного (инновационного) сектора экономики, а также доходов от реализации акций, принадлежащих налогоплательщику - физическому лицу более пяти лет (пятилетняя ЛДВ), в части включения срока выбытия ценных бумаг из собственности налогоплательщика по договору займа с брокером или </w:t>
        <w:br/>
        <w:t xml:space="preserve">по договору репо в общий срок нахождения ценных бумаг в собственности налогоплательщика. </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567"/>
        <w:rPr>
          <w:i/>
          <w:i/>
          <w:iCs/>
        </w:rPr>
      </w:pPr>
      <w:r>
        <w:rPr>
          <w:rFonts w:cs="Times New Roman" w:ascii="Times New Roman" w:hAnsi="Times New Roman"/>
          <w:i/>
          <w:iCs/>
          <w:sz w:val="24"/>
          <w:szCs w:val="24"/>
        </w:rPr>
        <w:t>Справочно: соответствующие изменения</w:t>
      </w:r>
      <w:r>
        <w:rPr>
          <w:rStyle w:val="FootnoteReference"/>
          <w:rFonts w:cs="Times New Roman" w:ascii="Times New Roman" w:hAnsi="Times New Roman"/>
          <w:i/>
          <w:iCs/>
          <w:sz w:val="24"/>
          <w:szCs w:val="24"/>
        </w:rPr>
        <w:footnoteReference w:id="13"/>
      </w:r>
      <w:r>
        <w:rPr>
          <w:rFonts w:cs="Times New Roman" w:ascii="Times New Roman" w:hAnsi="Times New Roman"/>
          <w:i/>
          <w:iCs/>
          <w:sz w:val="24"/>
          <w:szCs w:val="24"/>
        </w:rPr>
        <w:t xml:space="preserve"> в Налоговый кодекс РФ были приняты </w:t>
        <w:br/>
        <w:t>в январе 2026 года.</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t>Изменения в Налоговый кодекс РФ в части уточнения порядка налогового агентирования в отношении доходов по инвестиционным паям</w:t>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В 2025 году НАУФОР продолжила обсуждение с Министерством финансов РФ и Банком России совершенствования порядка осуществления функций налогового агента при операциях с инвестиционными паями, совершаемых инвесторами - физическими лицами через брокеров (доверительных управляющих). Внесение соответствующих изменений необходимо не только для целей унификации подхода к налоговому агентированию для инвестиционных паев с подходом, действующим в отношении других ценных бумаг, и для упрощения приобретения инвестиционных паев через брокеров, но и для обеспечения налогообложения периодических доходов и сумм частичного погашения по инвестиционным паям, выплата которых с 1 марта 2026 года будет осуществляться через цепочку депозитариев.</w:t>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t>Порядок обмена документами, подтверждающими расходы физических лиц, при смене ими финансовых посредников</w:t>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В 2025 году вступили в силу поправки в Налоговый кодекс РФ и Федеральный закон «О рынке ценных бумаг», которые допускают возможность обмена информацией между профессиональными участниками рынка ценных бумаг о расходах на приобретение и хранение ценных бумаг, без непосредственного участия физического лица – налогоплательщика.</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НАУФОР в течение 2025 года работала над определением механизма взаимодействия между профессиональными участниками при обмене указанной информацией как путем передачи документов на бумажном носителе, так и путем обмена документами по системам электронного документооборота. Разработанный и согласованный с Банком России механизм такого взаимодействия планируется закрепить в 2026 году в базовых стандартах.</w:t>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t>2. Осуществление контроля</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В 2025 году НАУФОР провела 269 проверок деятельности своих членов, из которых 105 были плановыми, 164 – внеплановыми. В ходе проверок проверялось соблюдение требований, входящих в приоритетные области контроля (69 приоритетных областей), согласованные с Банком России – в том числе и в первую очередь: предоставление получателю финансовых услуг информации при открытии счета, совершение сделок </w:t>
        <w:br/>
        <w:t xml:space="preserve">на лучших условиях, тестирование и определение инвестиционного профиля, </w:t>
        <w:br/>
        <w:t xml:space="preserve">37 внеплановых проверок было проведено по жалобам инвесторов. В форме «контрольных закупок» было проведено 99 внеплановых проверок. </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В отношении внеплановых проверок НАУФОР придерживается риск-ориентированного подхода, учитывающим количество жалоб от клиентов в доле </w:t>
        <w:br/>
        <w:t>от общего числа их клиентов.</w:t>
      </w:r>
    </w:p>
    <w:tbl>
      <w:tblPr>
        <w:tblStyle w:val="aff5"/>
        <w:tblW w:w="9238"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5610"/>
        <w:gridCol w:w="3627"/>
      </w:tblGrid>
      <w:tr>
        <w:trPr/>
        <w:tc>
          <w:tcPr>
            <w:tcW w:w="5610" w:type="dxa"/>
            <w:tcBorders/>
          </w:tcPr>
          <w:p>
            <w:pPr>
              <w:pStyle w:val="Normal"/>
              <w:widowControl/>
              <w:suppressAutoHyphens w:val="true"/>
              <w:spacing w:lineRule="auto" w:line="360" w:before="0" w:after="0"/>
              <w:jc w:val="star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Количество проверок</w:t>
            </w:r>
          </w:p>
        </w:tc>
        <w:tc>
          <w:tcPr>
            <w:tcW w:w="3627" w:type="dxa"/>
            <w:tcBorders/>
            <w:vAlign w:val="center"/>
          </w:tcPr>
          <w:p>
            <w:pPr>
              <w:pStyle w:val="Normal"/>
              <w:widowControl/>
              <w:suppressAutoHyphens w:val="true"/>
              <w:spacing w:lineRule="auto" w:line="36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2025 (2024) год </w:t>
            </w:r>
          </w:p>
        </w:tc>
      </w:tr>
      <w:tr>
        <w:trPr/>
        <w:tc>
          <w:tcPr>
            <w:tcW w:w="5610" w:type="dxa"/>
            <w:tcBorders/>
          </w:tcPr>
          <w:p>
            <w:pPr>
              <w:pStyle w:val="Normal"/>
              <w:widowControl/>
              <w:suppressAutoHyphens w:val="true"/>
              <w:spacing w:lineRule="auto" w:line="360" w:before="0" w:after="0"/>
              <w:jc w:val="star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Плановые</w:t>
            </w:r>
          </w:p>
        </w:tc>
        <w:tc>
          <w:tcPr>
            <w:tcW w:w="3627" w:type="dxa"/>
            <w:tcBorders/>
            <w:vAlign w:val="center"/>
          </w:tcPr>
          <w:p>
            <w:pPr>
              <w:pStyle w:val="Normal"/>
              <w:widowControl/>
              <w:suppressAutoHyphens w:val="true"/>
              <w:spacing w:lineRule="auto" w:line="36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105 (117)</w:t>
            </w:r>
          </w:p>
        </w:tc>
      </w:tr>
      <w:tr>
        <w:trPr/>
        <w:tc>
          <w:tcPr>
            <w:tcW w:w="5610" w:type="dxa"/>
            <w:tcBorders/>
          </w:tcPr>
          <w:p>
            <w:pPr>
              <w:pStyle w:val="Normal"/>
              <w:widowControl/>
              <w:suppressAutoHyphens w:val="true"/>
              <w:spacing w:lineRule="auto" w:line="360" w:before="0" w:after="0"/>
              <w:jc w:val="star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Внеплановые по жалобам</w:t>
            </w:r>
          </w:p>
        </w:tc>
        <w:tc>
          <w:tcPr>
            <w:tcW w:w="3627" w:type="dxa"/>
            <w:tcBorders/>
            <w:vAlign w:val="center"/>
          </w:tcPr>
          <w:p>
            <w:pPr>
              <w:pStyle w:val="Normal"/>
              <w:widowControl/>
              <w:suppressAutoHyphens w:val="true"/>
              <w:spacing w:lineRule="auto" w:line="36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37 (84)</w:t>
            </w:r>
          </w:p>
        </w:tc>
      </w:tr>
      <w:tr>
        <w:trPr/>
        <w:tc>
          <w:tcPr>
            <w:tcW w:w="5610" w:type="dxa"/>
            <w:tcBorders/>
          </w:tcPr>
          <w:p>
            <w:pPr>
              <w:pStyle w:val="Normal"/>
              <w:widowControl/>
              <w:suppressAutoHyphens w:val="true"/>
              <w:spacing w:lineRule="auto" w:line="360" w:before="0" w:after="0"/>
              <w:jc w:val="star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Иные внеплановые</w:t>
            </w:r>
          </w:p>
        </w:tc>
        <w:tc>
          <w:tcPr>
            <w:tcW w:w="3627" w:type="dxa"/>
            <w:tcBorders/>
            <w:vAlign w:val="center"/>
          </w:tcPr>
          <w:p>
            <w:pPr>
              <w:pStyle w:val="Normal"/>
              <w:widowControl/>
              <w:suppressAutoHyphens w:val="true"/>
              <w:spacing w:lineRule="auto" w:line="36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127 (94)</w:t>
            </w:r>
          </w:p>
        </w:tc>
      </w:tr>
      <w:tr>
        <w:trPr/>
        <w:tc>
          <w:tcPr>
            <w:tcW w:w="5610" w:type="dxa"/>
            <w:tcBorders/>
          </w:tcPr>
          <w:p>
            <w:pPr>
              <w:pStyle w:val="Normal"/>
              <w:widowControl/>
              <w:suppressAutoHyphens w:val="true"/>
              <w:spacing w:lineRule="auto" w:line="360" w:before="0" w:after="0"/>
              <w:jc w:val="star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Всего</w:t>
            </w:r>
          </w:p>
        </w:tc>
        <w:tc>
          <w:tcPr>
            <w:tcW w:w="3627" w:type="dxa"/>
            <w:tcBorders/>
            <w:vAlign w:val="center"/>
          </w:tcPr>
          <w:p>
            <w:pPr>
              <w:pStyle w:val="Normal"/>
              <w:widowControl/>
              <w:suppressAutoHyphens w:val="true"/>
              <w:spacing w:lineRule="auto" w:line="36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269 (295)</w:t>
            </w:r>
          </w:p>
        </w:tc>
      </w:tr>
    </w:tbl>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Нарушения выявлены по результатам 24% плановых проверок, 11% проверок </w:t>
        <w:br/>
        <w:t>по жалобам и в 20% иных внеплановых проверок.</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В результате проведенных в 2025 году проверок были выявлены следующие нарушения:</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1) в деятельности брокеров и депозитариев:</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нарушение правил раскрытия или предоставления информации, включая информационные документы (9 случаев);</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нарушение правил информирования клиента о рисках (8 случаев);</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нарушение при обеспечении обособленного учета (3 случая);</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нарушение правил информирования о присвоении статуса квалифицированного инвестора (4 случая);</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нарушение правил тестирования (2 случая);</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нарушение Кодекса деловой этики (5 случаев);</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нарушение разумности и добросовестности (2 случая);</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нарушение правил предложения финансовых инструментов (5 случаев);</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иные нарушения (4 случая);</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2) в деятельности управляющих:</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нарушение порядка определения инвестиционного профиля (18 случаев);</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нарушение правил информирования о присвоении статуса квалифицированного инвестора (1 случай);</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нарушение порядка определения допустимого/фактического риска (1 случай);</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нарушение правил раскрытия или предоставления информации (1 случай);</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3) в деятельности инвестиционных советников:</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нарушение порядка определения инвестиционного профиля (33 случая);</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нарушение порядка предоставления индивидуальных инвестиционных рекомендаций (5 случаев);</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нарушение правил предоставления информации получателю финансовых услуг и взаимодействия с ним (7 случаев);</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нарушение Кодекса деловой этики (2 случая);</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нарушение при оценке соответствия инвестиционного портфеля клиента инвестиционному профилю (1 случай);</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нарушение требований к предоставлению услуг посредством программ автоследования (16 случаев);</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4) в деятельности депозитариев:</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нарушение ведения учета (10 случаев);</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нарушение внесения записей при открытии разделов счетов депо (4 случая);</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нарушение Кодекса деловой этики (1 случай);</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нарушение порядка разграничения прав доступа и обеспечения конфиденциальности информации (1 случай).</w:t>
      </w:r>
    </w:p>
    <w:p>
      <w:pPr>
        <w:pStyle w:val="Normal"/>
        <w:spacing w:lineRule="auto" w:line="360" w:before="0" w:after="0"/>
        <w:ind w:firstLine="567"/>
        <w:rPr/>
      </w:pPr>
      <w:r>
        <w:rPr>
          <w:rFonts w:cs="Times New Roman" w:ascii="Times New Roman" w:hAnsi="Times New Roman"/>
          <w:sz w:val="24"/>
          <w:szCs w:val="24"/>
        </w:rPr>
        <w:t xml:space="preserve">При осуществлении плановых проверок деятельности управляющих компаний основной фокус проверок направлен на контроль соблюдения требований </w:t>
        <w:br/>
        <w:t>к минимальному объему информации и порядку ее распространения, предоставления и раскрытия получателям финансовых услуг.</w:t>
      </w:r>
    </w:p>
    <w:p>
      <w:pPr>
        <w:pStyle w:val="Normal"/>
        <w:spacing w:lineRule="auto" w:line="360" w:before="0" w:after="0"/>
        <w:ind w:firstLine="567"/>
        <w:rPr/>
      </w:pPr>
      <w:r>
        <w:rPr>
          <w:rFonts w:cs="Times New Roman" w:ascii="Times New Roman" w:hAnsi="Times New Roman"/>
          <w:sz w:val="24"/>
          <w:szCs w:val="24"/>
        </w:rPr>
        <w:t>В 2025 году в контрольной функции НАУФОР внедрена практика осуществления мониторинга соблюдения членами НАУФОР требований стандартов при взаимодействии с клиентами. Мониторинг осуществляется ежеквартально и позволяет выявить признаки нарушений раскрытия информации, предоставления информации клиенту при заключении договора, доступность информации без проведения контрольной закупки.</w:t>
      </w:r>
    </w:p>
    <w:p>
      <w:pPr>
        <w:pStyle w:val="Normal"/>
        <w:spacing w:lineRule="auto" w:line="360" w:before="0" w:after="0"/>
        <w:ind w:firstLine="567"/>
        <w:rPr/>
      </w:pPr>
      <w:r>
        <w:rPr>
          <w:rFonts w:cs="Times New Roman" w:ascii="Times New Roman" w:hAnsi="Times New Roman"/>
          <w:sz w:val="24"/>
          <w:szCs w:val="24"/>
        </w:rPr>
        <w:t>Результаты проведенного мониторинга по системно-значимым организациям показали недостатки в декларациях о рисках и КИДах, процессах заключения договора (предустановленные галочки на согласии об использовании активов клиента, ознакомление с документами), отсутствие информационных документов о финансовых инструментах, КИД. Результаты мониторинга могут являться основанием проведения проверки.</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В декабре 2025 года НАУФОР внесла изменения</w:t>
      </w:r>
      <w:r>
        <w:rPr>
          <w:rStyle w:val="FootnoteReference"/>
          <w:rFonts w:cs="Times New Roman" w:ascii="Times New Roman" w:hAnsi="Times New Roman"/>
          <w:sz w:val="24"/>
          <w:szCs w:val="24"/>
        </w:rPr>
        <w:footnoteReference w:id="14"/>
      </w:r>
      <w:r>
        <w:rPr>
          <w:rFonts w:cs="Times New Roman" w:ascii="Times New Roman" w:hAnsi="Times New Roman"/>
          <w:sz w:val="24"/>
          <w:szCs w:val="24"/>
        </w:rPr>
        <w:t xml:space="preserve"> в приоритетные области контроля, добавив в их число требования базового стандарта совершения специализированным депозитарием операций на финансовом рынке, правила предоставления информации получателям финансовых услуг, управление разработкой и предложением финансовых инструментов, требования внутренних стандартов НАУФОР </w:t>
        <w:br/>
        <w:t>о предоставлении ключевой информации о договоре о брокерском обслуживании и деклараций о рисках, разумность и добросовестность при осуществлении управляющим оценки активов под управлением.</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Дисциплинарный комитет в 2025 году провел 18 заседаний. В 13 случаях к членам НАУФОР, допустившим нарушения, были применены меры воздействия:</w:t>
      </w:r>
    </w:p>
    <w:tbl>
      <w:tblPr>
        <w:tblStyle w:val="aff5"/>
        <w:tblW w:w="9350" w:type="dxa"/>
        <w:jc w:val="start"/>
        <w:tblInd w:w="-5" w:type="dxa"/>
        <w:tblLayout w:type="fixed"/>
        <w:tblCellMar>
          <w:top w:w="0" w:type="dxa"/>
          <w:start w:w="108" w:type="dxa"/>
          <w:bottom w:w="0" w:type="dxa"/>
          <w:end w:w="108" w:type="dxa"/>
        </w:tblCellMar>
        <w:tblLook w:firstRow="1" w:noVBand="1" w:lastRow="0" w:firstColumn="1" w:lastColumn="0" w:noHBand="0" w:val="04a0"/>
      </w:tblPr>
      <w:tblGrid>
        <w:gridCol w:w="7174"/>
        <w:gridCol w:w="2175"/>
      </w:tblGrid>
      <w:tr>
        <w:trPr/>
        <w:tc>
          <w:tcPr>
            <w:tcW w:w="7174" w:type="dxa"/>
            <w:tcBorders/>
          </w:tcPr>
          <w:p>
            <w:pPr>
              <w:pStyle w:val="Normal"/>
              <w:widowControl/>
              <w:suppressAutoHyphens w:val="true"/>
              <w:spacing w:lineRule="auto" w:line="36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Меры дисциплинарного воздействия в 2025 году</w:t>
            </w:r>
          </w:p>
        </w:tc>
        <w:tc>
          <w:tcPr>
            <w:tcW w:w="2175" w:type="dxa"/>
            <w:tcBorders/>
          </w:tcPr>
          <w:p>
            <w:pPr>
              <w:pStyle w:val="Normal"/>
              <w:widowControl/>
              <w:suppressAutoHyphens w:val="true"/>
              <w:spacing w:lineRule="auto" w:line="36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Количество </w:t>
            </w:r>
          </w:p>
        </w:tc>
      </w:tr>
      <w:tr>
        <w:trPr/>
        <w:tc>
          <w:tcPr>
            <w:tcW w:w="7174" w:type="dxa"/>
            <w:tcBorders/>
          </w:tcPr>
          <w:p>
            <w:pPr>
              <w:pStyle w:val="Normal"/>
              <w:widowControl/>
              <w:suppressAutoHyphens w:val="true"/>
              <w:spacing w:lineRule="auto" w:line="360" w:before="0" w:after="0"/>
              <w:jc w:val="star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Замечание</w:t>
            </w:r>
          </w:p>
        </w:tc>
        <w:tc>
          <w:tcPr>
            <w:tcW w:w="2175" w:type="dxa"/>
            <w:tcBorders/>
          </w:tcPr>
          <w:p>
            <w:pPr>
              <w:pStyle w:val="Normal"/>
              <w:widowControl/>
              <w:suppressAutoHyphens w:val="true"/>
              <w:spacing w:lineRule="auto" w:line="36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1</w:t>
            </w:r>
          </w:p>
        </w:tc>
      </w:tr>
      <w:tr>
        <w:trPr/>
        <w:tc>
          <w:tcPr>
            <w:tcW w:w="7174" w:type="dxa"/>
            <w:tcBorders/>
          </w:tcPr>
          <w:p>
            <w:pPr>
              <w:pStyle w:val="Normal"/>
              <w:widowControl/>
              <w:suppressAutoHyphens w:val="true"/>
              <w:spacing w:lineRule="auto" w:line="360" w:before="0" w:after="0"/>
              <w:jc w:val="star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Предупреждение </w:t>
            </w:r>
          </w:p>
        </w:tc>
        <w:tc>
          <w:tcPr>
            <w:tcW w:w="2175" w:type="dxa"/>
            <w:tcBorders/>
          </w:tcPr>
          <w:p>
            <w:pPr>
              <w:pStyle w:val="Normal"/>
              <w:widowControl/>
              <w:suppressAutoHyphens w:val="true"/>
              <w:spacing w:lineRule="auto" w:line="36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8</w:t>
            </w:r>
          </w:p>
        </w:tc>
      </w:tr>
      <w:tr>
        <w:trPr/>
        <w:tc>
          <w:tcPr>
            <w:tcW w:w="7174" w:type="dxa"/>
            <w:tcBorders/>
          </w:tcPr>
          <w:p>
            <w:pPr>
              <w:pStyle w:val="Normal"/>
              <w:widowControl/>
              <w:suppressAutoHyphens w:val="true"/>
              <w:spacing w:lineRule="auto" w:line="240" w:before="0" w:after="0"/>
              <w:jc w:val="star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Требование об устранении выявленных нарушений или </w:t>
              <w:br/>
              <w:t xml:space="preserve">о принятии в установленные сроки мер, направленных </w:t>
              <w:br/>
              <w:t>на недопущение выявленных нарушений в дальнейшем</w:t>
            </w:r>
          </w:p>
          <w:p>
            <w:pPr>
              <w:pStyle w:val="Normal"/>
              <w:widowControl/>
              <w:suppressAutoHyphens w:val="true"/>
              <w:spacing w:lineRule="auto" w:line="240" w:before="0" w:after="0"/>
              <w:jc w:val="star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r>
          </w:p>
        </w:tc>
        <w:tc>
          <w:tcPr>
            <w:tcW w:w="2175" w:type="dxa"/>
            <w:tcBorders/>
          </w:tcPr>
          <w:p>
            <w:pPr>
              <w:pStyle w:val="Normal"/>
              <w:widowControl/>
              <w:suppressAutoHyphens w:val="true"/>
              <w:spacing w:lineRule="auto" w:line="36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0</w:t>
            </w:r>
          </w:p>
        </w:tc>
      </w:tr>
      <w:tr>
        <w:trPr/>
        <w:tc>
          <w:tcPr>
            <w:tcW w:w="7174" w:type="dxa"/>
            <w:tcBorders/>
          </w:tcPr>
          <w:p>
            <w:pPr>
              <w:pStyle w:val="Normal"/>
              <w:widowControl/>
              <w:suppressAutoHyphens w:val="true"/>
              <w:spacing w:lineRule="auto" w:line="360" w:before="0" w:after="0"/>
              <w:jc w:val="start"/>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 xml:space="preserve">Штраф </w:t>
            </w:r>
          </w:p>
        </w:tc>
        <w:tc>
          <w:tcPr>
            <w:tcW w:w="2175" w:type="dxa"/>
            <w:tcBorders/>
          </w:tcPr>
          <w:p>
            <w:pPr>
              <w:pStyle w:val="Normal"/>
              <w:widowControl/>
              <w:suppressAutoHyphens w:val="true"/>
              <w:spacing w:lineRule="auto" w:line="360" w:before="0" w:after="0"/>
              <w:jc w:val="center"/>
              <w:rPr>
                <w:rFonts w:ascii="Times New Roman" w:hAnsi="Times New Roman" w:cs="Times New Roman"/>
                <w:sz w:val="24"/>
                <w:szCs w:val="24"/>
              </w:rPr>
            </w:pPr>
            <w:r>
              <w:rPr>
                <w:rFonts w:eastAsia="" w:cs="Times New Roman" w:ascii="Times New Roman" w:hAnsi="Times New Roman"/>
                <w:kern w:val="0"/>
                <w:sz w:val="24"/>
                <w:szCs w:val="24"/>
                <w:lang w:val="ru-RU" w:eastAsia="ru-RU" w:bidi="ar-SA"/>
              </w:rPr>
              <w:t>4</w:t>
            </w:r>
          </w:p>
        </w:tc>
      </w:tr>
    </w:tbl>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По 2 нарушениям Дисциплинарным комитетом были приняты решения </w:t>
        <w:br/>
        <w:t xml:space="preserve">об освобождении от дисциплинарной ответственности в связи с их устранением </w:t>
        <w:br/>
        <w:t xml:space="preserve">до заседания Дисциплинарного комитета. </w:t>
      </w:r>
    </w:p>
    <w:p>
      <w:pPr>
        <w:pStyle w:val="Normal"/>
        <w:spacing w:lineRule="auto" w:line="360" w:before="0" w:after="0"/>
        <w:ind w:firstLine="567"/>
        <w:rPr/>
      </w:pPr>
      <w:r>
        <w:rPr>
          <w:rFonts w:cs="Times New Roman" w:ascii="Times New Roman" w:hAnsi="Times New Roman"/>
          <w:sz w:val="24"/>
          <w:szCs w:val="24"/>
        </w:rPr>
        <w:t xml:space="preserve">В 2025 году была реализована утвержденная в конце 2024 года реформа дисциплинарного производства НАУФОР, в соответствии с которой введена возможность не возбуждать дисциплинарное производство в случаях, когда нарушения носят формальный характер, не причинили какого-либо вреда и были устранены организацией сразу же после их выявления, побуждая финансовую организацию добровольно и </w:t>
        <w:br/>
        <w:t xml:space="preserve">в разумные сроки исправить выявленные недостатки и устранить причиненный вред </w:t>
        <w:br/>
        <w:t xml:space="preserve">(в случае его наличия). В таком случае заявление о возбуждении дисциплинарного производства может не включать указанные в акте проверки нарушения, по которым были представлены возражения, признанные обоснованными, нарушения, которые член НАУФОР устранил, либо предпринял необходимые и достаточные меры для недопущения их в дальнейшем и при этом такие нарушения не причинили вреда или причиненный нарушениями вред был компенсирован нарушителем, нарушения, которые в соответствии с сложившейся практикой дисциплинарного комитета не считаются таковыми. </w:t>
      </w:r>
    </w:p>
    <w:p>
      <w:pPr>
        <w:pStyle w:val="Normal"/>
        <w:spacing w:lineRule="auto" w:line="360" w:before="0" w:after="0"/>
        <w:ind w:firstLine="567"/>
        <w:rPr/>
      </w:pPr>
      <w:r>
        <w:rPr>
          <w:rFonts w:cs="Times New Roman" w:ascii="Times New Roman" w:hAnsi="Times New Roman"/>
          <w:sz w:val="24"/>
          <w:szCs w:val="24"/>
        </w:rPr>
        <w:t xml:space="preserve">В результате активного взаимодействия с членами НАУФОР после проведения проверок в отношении 49 % нарушений дисциплинарное производство не возбуждалось. </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В апреле 2025 года был подготовлен и опубликован Обзор решений Дисциплинарного комитета НАУФОР за 2024 год</w:t>
      </w:r>
      <w:r>
        <w:rPr>
          <w:rStyle w:val="FootnoteReference"/>
          <w:rFonts w:cs="Times New Roman" w:ascii="Times New Roman" w:hAnsi="Times New Roman"/>
          <w:sz w:val="24"/>
          <w:szCs w:val="24"/>
        </w:rPr>
        <w:footnoteReference w:id="15"/>
      </w:r>
      <w:r>
        <w:rPr>
          <w:rFonts w:cs="Times New Roman" w:ascii="Times New Roman" w:hAnsi="Times New Roman"/>
          <w:sz w:val="24"/>
          <w:szCs w:val="24"/>
        </w:rPr>
        <w:t>.</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567"/>
        <w:rPr>
          <w:rFonts w:ascii="Times New Roman" w:hAnsi="Times New Roman" w:cs="Times New Roman"/>
          <w:i/>
          <w:i/>
          <w:sz w:val="24"/>
          <w:szCs w:val="24"/>
        </w:rPr>
      </w:pPr>
      <w:r>
        <w:rPr>
          <w:rFonts w:cs="Times New Roman" w:ascii="Times New Roman" w:hAnsi="Times New Roman"/>
          <w:i/>
          <w:sz w:val="24"/>
          <w:szCs w:val="24"/>
        </w:rPr>
        <w:t>Справочно: в период с января по май 2026 года НАУФОР провела 100 проверок деятельности своих членов, из которых 33 были плановыми, 67 – внеплановыми. Дисциплинарный комитет провел 11 заседаний, к 5 членам НАУФОР, допустившим нарушения, были применены меры воздействия.</w:t>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t>3. Методологическая поддержка членов НАУФОР</w:t>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В феврале 2025 года НАУФОР опубликовала Методические рекомендации </w:t>
        <w:br/>
        <w:t>по отдельным вопросам контроля специализированного депозитария</w:t>
      </w:r>
      <w:r>
        <w:rPr>
          <w:rStyle w:val="FootnoteReference"/>
          <w:rFonts w:cs="Times New Roman" w:ascii="Times New Roman" w:hAnsi="Times New Roman"/>
          <w:sz w:val="24"/>
          <w:szCs w:val="24"/>
        </w:rPr>
        <w:footnoteReference w:id="16"/>
      </w:r>
      <w:r>
        <w:rPr>
          <w:rFonts w:cs="Times New Roman" w:ascii="Times New Roman" w:hAnsi="Times New Roman"/>
          <w:sz w:val="24"/>
          <w:szCs w:val="24"/>
        </w:rPr>
        <w:t>. Документ определяет контрольные процедуры специализированного депозитария в отношении действий управляющей компании, связанных с подготовкой и проведением общего собрания владельцев инвестиционных паев.</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В апреле 2025 года были опубликованы Методические рекомендации </w:t>
        <w:br/>
        <w:t>по уведомлению регулятора об операциях, осуществляемых возможно с использованием инсайдерской информации или в целях манипулирования рынком</w:t>
      </w:r>
      <w:r>
        <w:rPr>
          <w:rStyle w:val="FootnoteReference"/>
          <w:rFonts w:cs="Times New Roman" w:ascii="Times New Roman" w:hAnsi="Times New Roman"/>
          <w:sz w:val="24"/>
          <w:szCs w:val="24"/>
        </w:rPr>
        <w:footnoteReference w:id="17"/>
      </w:r>
      <w:r>
        <w:rPr>
          <w:rFonts w:cs="Times New Roman" w:ascii="Times New Roman" w:hAnsi="Times New Roman"/>
          <w:sz w:val="24"/>
          <w:szCs w:val="24"/>
        </w:rPr>
        <w:t>. Документ содержит рекомендации к порядку заполнения уведомлений, описанию способов и обстоятельств совершения нестандартной операции, информации о доходах или убытках, которые получил участник торгов или клиент в результате такой операции, а также формулирования мотивированного вывода о наличии признаков НИИИМР в результате совершения нестандартной операции и перечень подтверждающих документов.</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В апреле 2025 года НАУФОР опубликовала новую редакцию Методических рекомендаций по проверке специализированным депозитарием правил (изменений </w:t>
        <w:br/>
        <w:t>в правила) доверительного управления закрытым/ интервальным паевым инвестиционным фондом, инвестиционные паи которого ограничены в обороте</w:t>
      </w:r>
      <w:r>
        <w:rPr>
          <w:rStyle w:val="FootnoteReference"/>
          <w:rFonts w:cs="Times New Roman" w:ascii="Times New Roman" w:hAnsi="Times New Roman"/>
          <w:sz w:val="24"/>
          <w:szCs w:val="24"/>
        </w:rPr>
        <w:footnoteReference w:id="18"/>
      </w:r>
      <w:r>
        <w:rPr>
          <w:rFonts w:cs="Times New Roman" w:ascii="Times New Roman" w:hAnsi="Times New Roman"/>
          <w:sz w:val="24"/>
          <w:szCs w:val="24"/>
        </w:rPr>
        <w:t>. Новая версия документа учитывает изменения законодательства и нормативных актов Банка в отношении доверительного управления ПИФ в целях долевого страхования жизни, а также порядка проведения общего собрания владельцев ЗПИФ. Документ определяет контрольные процедуры при согласовании правил (изменений в правила) доверительного управления, требуемые внутренним стандартом НАУФОР «Порядок согласования специализированным депозитарием правил доверительного управления паевым инвестиционным фондом, инвестиционные паи которого ограничены в обороте».</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В декабре 2025 года Комитет НАУФОР по деятельности специализированных депозитариев подготовил разъяснения</w:t>
      </w:r>
      <w:r>
        <w:rPr>
          <w:rStyle w:val="FootnoteReference"/>
          <w:rFonts w:cs="Times New Roman" w:ascii="Times New Roman" w:hAnsi="Times New Roman"/>
          <w:sz w:val="24"/>
          <w:szCs w:val="24"/>
        </w:rPr>
        <w:footnoteReference w:id="19"/>
      </w:r>
      <w:r>
        <w:rPr>
          <w:rFonts w:cs="Times New Roman" w:ascii="Times New Roman" w:hAnsi="Times New Roman"/>
          <w:sz w:val="24"/>
          <w:szCs w:val="24"/>
        </w:rPr>
        <w:t xml:space="preserve"> в виде ответов на вопросы о применении Базового стандарта совершения специализированным депозитарием операций на финансовом рынке. В целях унификации действий по осуществлению специализированным депозитарием контроля срока предоставления первичных документов, Комитет НАУФОР также подготовил соответствующие рекомендации.</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567"/>
        <w:rPr>
          <w:rFonts w:ascii="Times New Roman" w:hAnsi="Times New Roman" w:cs="Times New Roman"/>
          <w:i/>
          <w:i/>
          <w:sz w:val="24"/>
          <w:szCs w:val="24"/>
        </w:rPr>
      </w:pPr>
      <w:r>
        <w:rPr>
          <w:rFonts w:cs="Times New Roman" w:ascii="Times New Roman" w:hAnsi="Times New Roman"/>
          <w:i/>
          <w:sz w:val="24"/>
          <w:szCs w:val="24"/>
        </w:rPr>
        <w:t>Справочно: 20 февраля 2026 года</w:t>
      </w:r>
      <w:bookmarkStart w:id="1" w:name="_GoBack"/>
      <w:bookmarkEnd w:id="1"/>
      <w:r>
        <w:rPr>
          <w:rFonts w:cs="Times New Roman" w:ascii="Times New Roman" w:hAnsi="Times New Roman"/>
          <w:i/>
          <w:sz w:val="24"/>
          <w:szCs w:val="24"/>
        </w:rPr>
        <w:t xml:space="preserve"> была опубликована вторая редакция Методических рекомендаций по прекращению специализированным депозитарием паевого инвестиционного фонда</w:t>
      </w:r>
      <w:r>
        <w:rPr>
          <w:rStyle w:val="FootnoteReference"/>
          <w:rFonts w:cs="Times New Roman" w:ascii="Times New Roman" w:hAnsi="Times New Roman"/>
          <w:i/>
          <w:sz w:val="24"/>
          <w:szCs w:val="24"/>
        </w:rPr>
        <w:footnoteReference w:id="20"/>
      </w:r>
      <w:r>
        <w:rPr>
          <w:rFonts w:cs="Times New Roman" w:ascii="Times New Roman" w:hAnsi="Times New Roman"/>
          <w:i/>
          <w:sz w:val="24"/>
          <w:szCs w:val="24"/>
        </w:rPr>
        <w:t xml:space="preserve">, учитывающая изменения в регулировании, вступающие в силу </w:t>
        <w:br/>
        <w:t>с 1 марта 2026 года. Документ был разработан в целях оказания методологической поддержки специализированным депозитариям при осуществлении ими непрофильной деятельности, связанной с прекращением ПИФов.</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t>4. Аккредитация программ инвестиционного консультирования</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С апреля 2019 года, когда было заключено соглашение с Банком России о передаче НАУФОР полномочий по аккредитации программ для инвестиционного консультирования, НАУФОР осуществляет аккредитацию таких программ. В течение 2025 года было аккредитовано 6 программ, отозвана аккредитация у 8 программ. На конец 2025 года в реестр аккредитованных НАУФОР программ было включено 23 программы.</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 </w:t>
      </w:r>
    </w:p>
    <w:p>
      <w:pPr>
        <w:pStyle w:val="Normal"/>
        <w:spacing w:lineRule="auto" w:line="360" w:before="0" w:after="0"/>
        <w:ind w:firstLine="567"/>
        <w:rPr>
          <w:rFonts w:ascii="Times New Roman" w:hAnsi="Times New Roman" w:cs="Times New Roman"/>
          <w:i/>
          <w:i/>
          <w:sz w:val="24"/>
          <w:szCs w:val="24"/>
        </w:rPr>
      </w:pPr>
      <w:r>
        <w:rPr>
          <w:rFonts w:cs="Times New Roman" w:ascii="Times New Roman" w:hAnsi="Times New Roman"/>
          <w:i/>
          <w:sz w:val="24"/>
          <w:szCs w:val="24"/>
        </w:rPr>
        <w:t>Справочно: за период с января по май 2026 года принято решение об аккредитации 1 новой программы автоконсультирования, об отзыве аккредитации по 2 программам (автоконсультирования, а также автоконсультирования и автоследования). По состоянию на 31 мая 2026 года в реестр аккредитованных НАУФОР программ было включено 22 программы, в том числе 11 программ автоконсультирования, 3 программы автоследования, 8 программ автоконсультирования и автоследования.</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567"/>
        <w:rPr>
          <w:rFonts w:ascii="Times New Roman" w:hAnsi="Times New Roman" w:cs="Times New Roman"/>
          <w:b/>
          <w:sz w:val="24"/>
          <w:szCs w:val="24"/>
        </w:rPr>
      </w:pPr>
      <w:r>
        <w:rPr>
          <w:rFonts w:cs="Times New Roman" w:ascii="Times New Roman" w:hAnsi="Times New Roman"/>
          <w:b/>
          <w:sz w:val="24"/>
          <w:szCs w:val="24"/>
        </w:rPr>
        <w:t>5. Подготовка и аттестация специалистов финансового рынка</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В 2025 году НАУФОР как Центр оценки квалификаций провела 188 экзаменов, </w:t>
        <w:br/>
        <w:t xml:space="preserve">в которых приняли участие 333 соискателя, и было выдано 223 свидетельства </w:t>
        <w:br/>
        <w:t>о квалификации.</w:t>
      </w:r>
      <w:r>
        <w:rPr/>
        <w:t xml:space="preserve"> </w:t>
      </w:r>
      <w:r>
        <w:rPr>
          <w:rFonts w:cs="Times New Roman" w:ascii="Times New Roman" w:hAnsi="Times New Roman"/>
          <w:sz w:val="24"/>
          <w:szCs w:val="24"/>
        </w:rPr>
        <w:t>В рамках этой деятельности НАУФОР также проводит признание ранее выданных квалификационных аттестатов специалистов финансового рынка, в 2025 году таким образом было выдано 1544 свидетельства о квалификации.</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В 2025 году было проведено 17 семинаров с участием 311 слушателей для специалистов по финансовому консультированию, брокерской и дилерской деятельности, деятельности по управлению ценными бумагами, депозитарной деятельности, а также провели 4 семинара по внутреннему контролю, в котором приняло участие 107 слушателей из 79 компаний и 2 семинара по построению и функционированию системы управления рисками на финансовом рынке, в которых приняли участие 39 человек </w:t>
        <w:br/>
        <w:t>с выдачей удостоверения установленного образца.</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Через свою дочернюю компанию ООО «Консалтинговый центр «НАУФОР» ассоциация провела 12 семинаров по повышению квалификации в области бухгалтерского учета и налогообложения операций на финансовом рынке, а также 5 семинаров </w:t>
        <w:br/>
        <w:t>по противодействию легализации доходов, полученных преступным путем, и финансированию терроризма и 6 семинаров по информационной безопасности, в которых приняли участие очно – 27 слушателей, в форме вебинара – 919 слушателей.</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С 2022 года НАУФОР проводит обучение и аттестацию специалистов </w:t>
        <w:br/>
        <w:t>по инвестиционному консультированию с получением аттестата НАУФОР и удостоверения о повышении квалификации. Программа является добровольной и разработана НАУФОР в целях повышения уровня квалификации в области инвестиционного консультирования. Она предназначена для сотрудников компаний, ведущих деятельность по инвестиционному консультированию, а также советников - индивидуальных предпринимателей. По данной программе в 2025 году проведено 8 очных семинаров, 120 из 150 слушателей получили удостоверение о повышении квалификации, 129 - квалификационные аттестаты НАУФОР.</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567"/>
        <w:rPr>
          <w:rFonts w:ascii="Times New Roman" w:hAnsi="Times New Roman" w:cs="Times New Roman"/>
          <w:i/>
          <w:i/>
          <w:sz w:val="24"/>
          <w:szCs w:val="24"/>
        </w:rPr>
      </w:pPr>
      <w:r>
        <w:rPr>
          <w:rFonts w:cs="Times New Roman" w:ascii="Times New Roman" w:hAnsi="Times New Roman"/>
          <w:i/>
          <w:sz w:val="24"/>
          <w:szCs w:val="24"/>
        </w:rPr>
        <w:t>Справочно: в период с января по май 2026 года Центр оценки квалификаций НАУФОР провел 11 экзаменов, в которых приняли участие 15 соискателей, и было выдано 7 свидетельств о квалификации. В рамках продления ранее выданных свидетельств было выдано 790 свидетельства о квалификации.</w:t>
      </w:r>
    </w:p>
    <w:p>
      <w:pPr>
        <w:pStyle w:val="Normal"/>
        <w:spacing w:lineRule="auto" w:line="360" w:before="0" w:after="0"/>
        <w:ind w:firstLine="567"/>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Также было проведено 5 семинаров для специалистов по депозитарной деятельности, брокерской, дилерской деятельности и деятельности по управлению ценными бумагами, инвестиционному консультированию. 10 семинаров по повышению квалификации в области бухгалтерского учета и налогообложения операций на финансовом рынке, по управлению рисками, противодействию неправомерному использованию инсайдерской информации и 1 семинар по ПОД/ФТ. Общее количество слушателей – 314 человек. По программе повышения квалификации для контролеров и специалистов в области информационной безопасности проведено 2 семинара для 55 слушателей, которые получили удостоверение о повышении квалификации. В рамках программы подготовки специалистов по инвестиционному консультированию в первом квартале 2026 года проведен 3 очных семинара, 50 слушателей получили аттестаты НАУФОР «Инвестиционный советник».</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b/>
          <w:sz w:val="24"/>
          <w:szCs w:val="24"/>
        </w:rPr>
        <w:t>6. Проведение публичных и информационных мероприятий</w:t>
      </w:r>
      <w:r>
        <w:rPr>
          <w:rFonts w:cs="Times New Roman" w:ascii="Times New Roman" w:hAnsi="Times New Roman"/>
          <w:sz w:val="24"/>
          <w:szCs w:val="24"/>
        </w:rPr>
        <w:t xml:space="preserve"> </w:t>
      </w:r>
    </w:p>
    <w:p>
      <w:pPr>
        <w:pStyle w:val="Normal"/>
        <w:spacing w:lineRule="auto" w:line="360" w:before="0" w:after="0"/>
        <w:ind w:firstLine="567"/>
        <w:rPr>
          <w:rFonts w:ascii="Times New Roman" w:hAnsi="Times New Roman" w:cs="Times New Roman"/>
          <w:sz w:val="24"/>
          <w:szCs w:val="24"/>
          <w:highlight w:val="yellow"/>
        </w:rPr>
      </w:pPr>
      <w:r>
        <w:rPr>
          <w:rFonts w:cs="Times New Roman" w:ascii="Times New Roman" w:hAnsi="Times New Roman"/>
          <w:sz w:val="24"/>
          <w:szCs w:val="24"/>
          <w:highlight w:val="yellow"/>
        </w:rPr>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В 2025 году НАУФОР возобновила очное проведение церемонии награждения победителей </w:t>
      </w:r>
      <w:bookmarkStart w:id="2" w:name="_Hlk227005939"/>
      <w:r>
        <w:rPr>
          <w:rFonts w:cs="Times New Roman" w:ascii="Times New Roman" w:hAnsi="Times New Roman"/>
          <w:sz w:val="24"/>
          <w:szCs w:val="24"/>
        </w:rPr>
        <w:t>конкурса «Элита фондового рынка»</w:t>
      </w:r>
      <w:bookmarkEnd w:id="2"/>
      <w:r>
        <w:rPr>
          <w:rFonts w:cs="Times New Roman" w:ascii="Times New Roman" w:hAnsi="Times New Roman"/>
          <w:sz w:val="24"/>
          <w:szCs w:val="24"/>
        </w:rPr>
        <w:t>. В апреле в Москве состоялась торжественная церемония награждения победителей</w:t>
      </w:r>
      <w:r>
        <w:rPr>
          <w:rStyle w:val="FootnoteReference"/>
          <w:rFonts w:cs="Times New Roman" w:ascii="Times New Roman" w:hAnsi="Times New Roman"/>
          <w:sz w:val="24"/>
          <w:szCs w:val="24"/>
        </w:rPr>
        <w:footnoteReference w:id="21"/>
      </w:r>
      <w:r>
        <w:rPr>
          <w:rFonts w:cs="Times New Roman" w:ascii="Times New Roman" w:hAnsi="Times New Roman"/>
          <w:sz w:val="24"/>
          <w:szCs w:val="24"/>
        </w:rPr>
        <w:t xml:space="preserve"> за 2024 год.</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 xml:space="preserve">В 2025 году правила проведения конкурса, список номинаций и порядок выдвижения номинантов были доработаны. В «количественных» номинациях претенденты на победу будут определяться на основании методики взвешенной оценки объема и динамики определенных показателей деятельности. В их число войдут: количество и стоимость активов клиентов, объем биржевых и внебиржевых сделок </w:t>
        <w:br/>
        <w:t xml:space="preserve">с ценными бумагами и инструментами срочного рынка, СЧА и доходность фондов, показатели активности в организации выпусков ценных бумаг. Источником сведений </w:t>
        <w:br/>
        <w:t xml:space="preserve">об этих показателях будет добровольное анкетирование членов НАУФОР через личные кабинеты системы ЭДО НАУФОР. В «качественных» номинациях (новый финансовый продукт, проект по развитию рынка, руководитель года, за вклад в развитие рынка фондового рынка) как и ранее, будет учитываться общее количество голосов, поданных </w:t>
        <w:br/>
        <w:t>в ходе анкетирования. Итоговое решение о победителях конкурса за 2025 год будет принято Национальным жюри путем прямого голосования.</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В мае 2025 года НАУФОР провела в Москве традиционную конференцию «Российский фондовый рынок»</w:t>
      </w:r>
      <w:r>
        <w:rPr>
          <w:rStyle w:val="FootnoteReference"/>
          <w:rFonts w:cs="Times New Roman" w:ascii="Times New Roman" w:hAnsi="Times New Roman"/>
          <w:sz w:val="24"/>
          <w:szCs w:val="24"/>
        </w:rPr>
        <w:footnoteReference w:id="22"/>
      </w:r>
      <w:r>
        <w:rPr>
          <w:rFonts w:cs="Times New Roman" w:ascii="Times New Roman" w:hAnsi="Times New Roman"/>
          <w:sz w:val="24"/>
          <w:szCs w:val="24"/>
        </w:rPr>
        <w:t>, посвященную ключевым вопросам российского рынка ценных бумаг.</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В июле 2025 года в Санкт-Петербурге состоялась конференция НАУФОР «Рынок коллективных инвестиций»</w:t>
      </w:r>
      <w:r>
        <w:rPr>
          <w:rStyle w:val="FootnoteReference"/>
          <w:rFonts w:cs="Times New Roman" w:ascii="Times New Roman" w:hAnsi="Times New Roman"/>
          <w:sz w:val="24"/>
          <w:szCs w:val="24"/>
        </w:rPr>
        <w:footnoteReference w:id="23"/>
      </w:r>
      <w:r>
        <w:rPr>
          <w:rFonts w:cs="Times New Roman" w:ascii="Times New Roman" w:hAnsi="Times New Roman"/>
          <w:sz w:val="24"/>
          <w:szCs w:val="24"/>
        </w:rPr>
        <w:t>, а в ноябре в Екатеринбурге – Уральская конференция НАУФОР</w:t>
      </w:r>
      <w:r>
        <w:rPr>
          <w:rStyle w:val="FootnoteReference"/>
          <w:rFonts w:cs="Times New Roman" w:ascii="Times New Roman" w:hAnsi="Times New Roman"/>
          <w:sz w:val="24"/>
          <w:szCs w:val="24"/>
        </w:rPr>
        <w:footnoteReference w:id="24"/>
      </w:r>
      <w:r>
        <w:rPr>
          <w:rFonts w:cs="Times New Roman" w:ascii="Times New Roman" w:hAnsi="Times New Roman"/>
          <w:sz w:val="24"/>
          <w:szCs w:val="24"/>
        </w:rPr>
        <w:t>.</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В конце ноября 2025 года в Москве НАУФОР была организована конференция для контролеров «Поведенческий контроль и надзор»</w:t>
      </w:r>
      <w:r>
        <w:rPr>
          <w:rStyle w:val="FootnoteReference"/>
          <w:rFonts w:cs="Times New Roman" w:ascii="Times New Roman" w:hAnsi="Times New Roman"/>
          <w:sz w:val="24"/>
          <w:szCs w:val="24"/>
        </w:rPr>
        <w:footnoteReference w:id="25"/>
      </w:r>
      <w:r>
        <w:rPr>
          <w:rFonts w:cs="Times New Roman" w:ascii="Times New Roman" w:hAnsi="Times New Roman"/>
          <w:sz w:val="24"/>
          <w:szCs w:val="24"/>
        </w:rPr>
        <w:t>. А в декабре 2025 года в онлайн-формате была проведена шестая конференция НАУФОР по информационной безопасности</w:t>
      </w:r>
      <w:r>
        <w:rPr>
          <w:rStyle w:val="FootnoteReference"/>
          <w:rFonts w:cs="Times New Roman" w:ascii="Times New Roman" w:hAnsi="Times New Roman"/>
          <w:sz w:val="24"/>
          <w:szCs w:val="24"/>
        </w:rPr>
        <w:footnoteReference w:id="26"/>
      </w:r>
      <w:r>
        <w:rPr>
          <w:rFonts w:cs="Times New Roman" w:ascii="Times New Roman" w:hAnsi="Times New Roman"/>
          <w:sz w:val="24"/>
          <w:szCs w:val="24"/>
        </w:rPr>
        <w:t>.</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t>В целях популяризации фондового рынка и продвижения его участников НАУФОР продолжила в 2025 году выпуск ежемесячного журнала «Вестник НАУФОР»</w:t>
      </w:r>
      <w:r>
        <w:rPr>
          <w:rStyle w:val="FootnoteReference"/>
          <w:rFonts w:cs="Times New Roman" w:ascii="Times New Roman" w:hAnsi="Times New Roman"/>
          <w:sz w:val="24"/>
          <w:szCs w:val="24"/>
        </w:rPr>
        <w:footnoteReference w:id="27"/>
      </w:r>
      <w:r>
        <w:rPr>
          <w:rFonts w:cs="Times New Roman" w:ascii="Times New Roman" w:hAnsi="Times New Roman"/>
          <w:sz w:val="24"/>
          <w:szCs w:val="24"/>
        </w:rPr>
        <w:t>.</w:t>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567"/>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Президент </w:t>
        <w:tab/>
        <w:tab/>
        <w:tab/>
        <w:tab/>
        <w:tab/>
        <w:tab/>
        <w:tab/>
        <w:tab/>
        <w:tab/>
        <w:tab/>
        <w:t>А.В. Тимофеев</w:t>
      </w:r>
    </w:p>
    <w:sectPr>
      <w:headerReference w:type="even" r:id="rId4"/>
      <w:headerReference w:type="default" r:id="rId5"/>
      <w:headerReference w:type="first" r:id="rId6"/>
      <w:footerReference w:type="even" r:id="rId7"/>
      <w:footerReference w:type="default" r:id="rId8"/>
      <w:footerReference w:type="first" r:id="rId9"/>
      <w:footnotePr>
        <w:numFmt w:val="decimal"/>
      </w:footnotePr>
      <w:type w:val="nextPage"/>
      <w:pgSz w:w="11906" w:h="16838"/>
      <w:pgMar w:left="1418" w:right="1133" w:gutter="0" w:header="57" w:top="851" w:footer="624" w:bottom="720"/>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Tahoma">
    <w:charset w:val="cc" w:characterSet="windows-1251"/>
    <w:family w:val="swiss"/>
    <w:pitch w:val="variable"/>
  </w:font>
  <w:font w:name="Times New Roman">
    <w:charset w:val="cc" w:characterSet="windows-1251"/>
    <w:family w:val="roman"/>
    <w:pitch w:val="variable"/>
  </w:font>
  <w:font w:name="Liberation Sans">
    <w:altName w:val="Arial"/>
    <w:charset w:val="cc" w:characterSet="windows-1251"/>
    <w:family w:val="swiss"/>
    <w:pitch w:val="variable"/>
  </w:font>
  <w:font w:name="ALS Hauss Book">
    <w:charset w:val="cc" w:characterSet="windows-125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6216594"/>
    </w:sdtPr>
    <w:sdtContent>
      <w:p>
        <w:pPr>
          <w:pStyle w:val="Footer"/>
          <w:jc w:val="center"/>
          <w:rPr>
            <w:rFonts w:ascii="Times New Roman" w:hAnsi="Times New Roman" w:cs="Times New Roman"/>
            <w:sz w:val="24"/>
            <w:szCs w:val="24"/>
          </w:rPr>
        </w:pPr>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20</w:t>
        </w:r>
        <w:r>
          <w:rPr>
            <w:sz w:val="24"/>
            <w:szCs w:val="24"/>
            <w:rFonts w:cs="Times New Roman" w:ascii="Times New Roman" w:hAnsi="Times New Roman"/>
          </w:rPr>
          <w:fldChar w:fldCharType="end"/>
        </w:r>
      </w:p>
    </w:sdtContent>
  </w:sdt>
  <w:p>
    <w:pPr>
      <w:pStyle w:val="Footer"/>
      <w:rPr>
        <w:rFonts w:ascii="Times New Roman" w:hAnsi="Times New Roman" w:cs="Times New Roman"/>
        <w:sz w:val="24"/>
        <w:szCs w:val="24"/>
      </w:rPr>
    </w:pPr>
    <w:r>
      <w:rPr>
        <w:rFonts w:cs="Times New Roman" w:ascii="Times New Roman" w:hAnsi="Times New Roman"/>
        <w:sz w:val="24"/>
        <w:szCs w:val="2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rFonts w:ascii="Times New Roman" w:hAnsi="Times New Roman" w:cs="Times New Roman"/>
        </w:rPr>
      </w:pPr>
      <w:r>
        <w:rPr>
          <w:rStyle w:val="Style18"/>
        </w:rPr>
        <w:footnoteRef/>
      </w:r>
      <w:r>
        <w:rPr>
          <w:rFonts w:cs="Times New Roman" w:ascii="Times New Roman" w:hAnsi="Times New Roman"/>
        </w:rPr>
        <w:t xml:space="preserve"> </w:t>
      </w:r>
      <w:hyperlink r:id="rId1">
        <w:r>
          <w:rPr>
            <w:rStyle w:val="Hyperlink"/>
            <w:rFonts w:cs="Times New Roman" w:ascii="Times New Roman" w:hAnsi="Times New Roman"/>
          </w:rPr>
          <w:t>https://naufor.ru/tree.asp?n=29860</w:t>
        </w:r>
      </w:hyperlink>
    </w:p>
  </w:footnote>
  <w:footnote w:id="3">
    <w:p>
      <w:pPr>
        <w:pStyle w:val="FootnoteText"/>
        <w:rPr>
          <w:rFonts w:ascii="Times New Roman" w:hAnsi="Times New Roman" w:cs="Times New Roman"/>
        </w:rPr>
      </w:pPr>
      <w:r>
        <w:rPr>
          <w:rStyle w:val="Style18"/>
        </w:rPr>
        <w:footnoteRef/>
      </w:r>
      <w:r>
        <w:rPr>
          <w:rFonts w:cs="Times New Roman" w:ascii="Times New Roman" w:hAnsi="Times New Roman"/>
        </w:rPr>
        <w:t xml:space="preserve"> </w:t>
      </w:r>
      <w:hyperlink r:id="rId2">
        <w:r>
          <w:rPr>
            <w:rStyle w:val="Hyperlink"/>
            <w:rFonts w:cs="Times New Roman" w:ascii="Times New Roman" w:hAnsi="Times New Roman"/>
          </w:rPr>
          <w:t>https://naufor.ru/tree.asp?n=31917</w:t>
        </w:r>
      </w:hyperlink>
      <w:r>
        <w:rPr>
          <w:rFonts w:cs="Times New Roman" w:ascii="Times New Roman" w:hAnsi="Times New Roman"/>
        </w:rPr>
        <w:t xml:space="preserve"> </w:t>
      </w:r>
    </w:p>
  </w:footnote>
  <w:footnote w:id="4">
    <w:p>
      <w:pPr>
        <w:pStyle w:val="FootnoteText"/>
        <w:rPr>
          <w:rFonts w:ascii="Times New Roman" w:hAnsi="Times New Roman" w:cs="Times New Roman"/>
        </w:rPr>
      </w:pPr>
      <w:r>
        <w:rPr>
          <w:rStyle w:val="Style18"/>
        </w:rPr>
        <w:footnoteRef/>
      </w:r>
      <w:r>
        <w:rPr>
          <w:rFonts w:cs="Times New Roman" w:ascii="Times New Roman" w:hAnsi="Times New Roman"/>
        </w:rPr>
        <w:t xml:space="preserve"> </w:t>
      </w:r>
      <w:hyperlink r:id="rId3">
        <w:r>
          <w:rPr>
            <w:rStyle w:val="Hyperlink"/>
            <w:rFonts w:cs="Times New Roman" w:ascii="Times New Roman" w:hAnsi="Times New Roman"/>
          </w:rPr>
          <w:t>https://naufor.ru/tree.asp?n=30037</w:t>
        </w:r>
      </w:hyperlink>
    </w:p>
  </w:footnote>
  <w:footnote w:id="5">
    <w:p>
      <w:pPr>
        <w:pStyle w:val="FootnoteText"/>
        <w:rPr>
          <w:rFonts w:ascii="Times New Roman" w:hAnsi="Times New Roman" w:cs="Times New Roman"/>
        </w:rPr>
      </w:pPr>
      <w:r>
        <w:rPr>
          <w:rStyle w:val="Style18"/>
        </w:rPr>
        <w:footnoteRef/>
      </w:r>
      <w:r>
        <w:rPr>
          <w:rFonts w:cs="Times New Roman" w:ascii="Times New Roman" w:hAnsi="Times New Roman"/>
        </w:rPr>
        <w:t xml:space="preserve"> </w:t>
      </w:r>
      <w:r>
        <w:rPr>
          <w:rFonts w:cs="Times New Roman" w:ascii="Times New Roman" w:hAnsi="Times New Roman"/>
        </w:rPr>
        <w:t>Федеральный закон от 23.05.2025 № 124-ФЗ «О внесении изменений в отдельные законодательные акты Российской Федерации»</w:t>
      </w:r>
    </w:p>
  </w:footnote>
  <w:footnote w:id="6">
    <w:p>
      <w:pPr>
        <w:pStyle w:val="FootnoteText"/>
        <w:rPr>
          <w:rFonts w:ascii="Times New Roman" w:hAnsi="Times New Roman" w:cs="Times New Roman"/>
        </w:rPr>
      </w:pPr>
      <w:r>
        <w:rPr>
          <w:rStyle w:val="Style18"/>
        </w:rPr>
        <w:footnoteRef/>
      </w:r>
      <w:r>
        <w:rPr>
          <w:rFonts w:cs="Times New Roman" w:ascii="Times New Roman" w:hAnsi="Times New Roman"/>
        </w:rPr>
        <w:t xml:space="preserve"> </w:t>
      </w:r>
      <w:hyperlink r:id="rId4">
        <w:r>
          <w:rPr>
            <w:rStyle w:val="Hyperlink"/>
            <w:rFonts w:cs="Times New Roman" w:ascii="Times New Roman" w:hAnsi="Times New Roman"/>
          </w:rPr>
          <w:t>https://naufor.ru/tree.asp?n=31951</w:t>
        </w:r>
      </w:hyperlink>
      <w:r>
        <w:rPr>
          <w:rFonts w:cs="Times New Roman" w:ascii="Times New Roman" w:hAnsi="Times New Roman"/>
        </w:rPr>
        <w:t xml:space="preserve"> </w:t>
      </w:r>
    </w:p>
  </w:footnote>
  <w:footnote w:id="7">
    <w:p>
      <w:pPr>
        <w:pStyle w:val="FootnoteText"/>
        <w:rPr>
          <w:rFonts w:ascii="Times New Roman" w:hAnsi="Times New Roman" w:cs="Times New Roman"/>
        </w:rPr>
      </w:pPr>
      <w:r>
        <w:rPr>
          <w:rStyle w:val="Style18"/>
        </w:rPr>
        <w:footnoteRef/>
      </w:r>
      <w:r>
        <w:rPr>
          <w:rFonts w:cs="Times New Roman" w:ascii="Times New Roman" w:hAnsi="Times New Roman"/>
        </w:rPr>
        <w:t xml:space="preserve"> </w:t>
      </w:r>
      <w:hyperlink r:id="rId5">
        <w:r>
          <w:rPr>
            <w:rStyle w:val="Hyperlink"/>
            <w:rFonts w:cs="Times New Roman" w:ascii="Times New Roman" w:hAnsi="Times New Roman"/>
          </w:rPr>
          <w:t>https://naufor.ru/tree.asp?n=30531</w:t>
        </w:r>
      </w:hyperlink>
    </w:p>
  </w:footnote>
  <w:footnote w:id="8">
    <w:p>
      <w:pPr>
        <w:pStyle w:val="FootnoteText"/>
        <w:rPr>
          <w:rFonts w:ascii="Times New Roman" w:hAnsi="Times New Roman" w:cs="Times New Roman"/>
        </w:rPr>
      </w:pPr>
      <w:r>
        <w:rPr>
          <w:rStyle w:val="Style18"/>
        </w:rPr>
        <w:footnoteRef/>
      </w:r>
      <w:r>
        <w:rPr>
          <w:rFonts w:cs="Times New Roman" w:ascii="Times New Roman" w:hAnsi="Times New Roman"/>
        </w:rPr>
        <w:t xml:space="preserve"> </w:t>
      </w:r>
      <w:hyperlink r:id="rId6">
        <w:r>
          <w:rPr>
            <w:rStyle w:val="Hyperlink"/>
            <w:rFonts w:cs="Times New Roman" w:ascii="Times New Roman" w:hAnsi="Times New Roman"/>
          </w:rPr>
          <w:t>https://naufor.ru/tree.asp?n=30804</w:t>
        </w:r>
      </w:hyperlink>
    </w:p>
  </w:footnote>
  <w:footnote w:id="9">
    <w:p>
      <w:pPr>
        <w:pStyle w:val="FootnoteText"/>
        <w:rPr>
          <w:rFonts w:ascii="Times New Roman" w:hAnsi="Times New Roman" w:cs="Times New Roman"/>
        </w:rPr>
      </w:pPr>
      <w:r>
        <w:rPr>
          <w:rStyle w:val="Style18"/>
        </w:rPr>
        <w:footnoteRef/>
      </w:r>
      <w:r>
        <w:rPr>
          <w:rFonts w:cs="Times New Roman" w:ascii="Times New Roman" w:hAnsi="Times New Roman"/>
        </w:rPr>
        <w:t xml:space="preserve"> </w:t>
      </w:r>
      <w:hyperlink r:id="rId7">
        <w:r>
          <w:rPr>
            <w:rStyle w:val="Hyperlink"/>
            <w:rFonts w:cs="Times New Roman" w:ascii="Times New Roman" w:hAnsi="Times New Roman"/>
          </w:rPr>
          <w:t>https://naufor.ru/tree.asp?n=30949</w:t>
        </w:r>
      </w:hyperlink>
      <w:r>
        <w:rPr>
          <w:rFonts w:cs="Times New Roman" w:ascii="Times New Roman" w:hAnsi="Times New Roman"/>
        </w:rPr>
        <w:t xml:space="preserve"> </w:t>
      </w:r>
    </w:p>
  </w:footnote>
  <w:footnote w:id="10">
    <w:p>
      <w:pPr>
        <w:pStyle w:val="FootnoteText"/>
        <w:rPr>
          <w:rFonts w:ascii="Times New Roman" w:hAnsi="Times New Roman" w:cs="Times New Roman"/>
        </w:rPr>
      </w:pPr>
      <w:r>
        <w:rPr>
          <w:rStyle w:val="Style18"/>
        </w:rPr>
        <w:footnoteRef/>
      </w:r>
      <w:r>
        <w:rPr>
          <w:rFonts w:cs="Times New Roman" w:ascii="Times New Roman" w:hAnsi="Times New Roman"/>
        </w:rPr>
        <w:t xml:space="preserve"> </w:t>
      </w:r>
      <w:hyperlink r:id="rId8">
        <w:r>
          <w:rPr>
            <w:rStyle w:val="Hyperlink"/>
            <w:rFonts w:cs="Times New Roman" w:ascii="Times New Roman" w:hAnsi="Times New Roman"/>
          </w:rPr>
          <w:t>https://naufor.ru/tree.asp?n=31246</w:t>
        </w:r>
      </w:hyperlink>
    </w:p>
  </w:footnote>
  <w:footnote w:id="11">
    <w:p>
      <w:pPr>
        <w:pStyle w:val="FootnoteText"/>
        <w:rPr>
          <w:rFonts w:ascii="Times New Roman" w:hAnsi="Times New Roman" w:cs="Times New Roman"/>
        </w:rPr>
      </w:pPr>
      <w:r>
        <w:rPr>
          <w:rStyle w:val="Style18"/>
        </w:rPr>
        <w:footnoteRef/>
      </w:r>
      <w:r>
        <w:rPr>
          <w:rFonts w:cs="Times New Roman" w:ascii="Times New Roman" w:hAnsi="Times New Roman"/>
        </w:rPr>
        <w:t xml:space="preserve"> </w:t>
      </w:r>
      <w:hyperlink r:id="rId9">
        <w:r>
          <w:rPr>
            <w:rStyle w:val="Hyperlink"/>
            <w:rFonts w:cs="Times New Roman" w:ascii="Times New Roman" w:hAnsi="Times New Roman"/>
          </w:rPr>
          <w:t>https://naufor.ru/tree.asp?n=31273</w:t>
        </w:r>
      </w:hyperlink>
      <w:r>
        <w:rPr>
          <w:rFonts w:cs="Times New Roman" w:ascii="Times New Roman" w:hAnsi="Times New Roman"/>
        </w:rPr>
        <w:t xml:space="preserve"> </w:t>
      </w:r>
    </w:p>
  </w:footnote>
  <w:footnote w:id="12">
    <w:p>
      <w:pPr>
        <w:pStyle w:val="FootnoteText"/>
        <w:rPr>
          <w:rFonts w:ascii="Times New Roman" w:hAnsi="Times New Roman" w:cs="Times New Roman"/>
        </w:rPr>
      </w:pPr>
      <w:r>
        <w:rPr>
          <w:rStyle w:val="Style18"/>
        </w:rPr>
        <w:footnoteRef/>
      </w:r>
      <w:r>
        <w:rPr>
          <w:rFonts w:cs="Times New Roman" w:ascii="Times New Roman" w:hAnsi="Times New Roman"/>
        </w:rPr>
        <w:t xml:space="preserve"> </w:t>
      </w:r>
      <w:r>
        <w:rPr>
          <w:rFonts w:cs="Times New Roman" w:ascii="Times New Roman" w:hAnsi="Times New Roman"/>
          <w:color w:val="22272F"/>
        </w:rPr>
        <w:t>Федеральный закон от 15.12.2025 № 466-ФЗ «О внесении изменений в статьи 1 и 3 Федерального закона "О цифровых финансовых активах, цифровой валюте и о внесении изменений в отдельные законодательные акты Российской Федерации»</w:t>
      </w:r>
      <w:r>
        <w:rPr>
          <w:rFonts w:cs="Times New Roman" w:ascii="Times New Roman" w:hAnsi="Times New Roman"/>
        </w:rPr>
        <w:t xml:space="preserve"> </w:t>
      </w:r>
    </w:p>
  </w:footnote>
  <w:footnote w:id="13">
    <w:p>
      <w:pPr>
        <w:pStyle w:val="FootnoteText"/>
        <w:rPr>
          <w:rFonts w:ascii="Times New Roman" w:hAnsi="Times New Roman" w:cs="Times New Roman"/>
        </w:rPr>
      </w:pPr>
      <w:r>
        <w:rPr>
          <w:rStyle w:val="Style18"/>
        </w:rPr>
        <w:footnoteRef/>
      </w:r>
      <w:r>
        <w:rPr>
          <w:rFonts w:cs="Times New Roman" w:ascii="Times New Roman" w:hAnsi="Times New Roman"/>
        </w:rPr>
        <w:t xml:space="preserve"> </w:t>
      </w:r>
      <w:r>
        <w:rPr>
          <w:rFonts w:cs="Times New Roman" w:ascii="Times New Roman" w:hAnsi="Times New Roman"/>
        </w:rPr>
        <w:t>Федеральный закон от 30.01.2026 № 15-ФЗ «О внесении изменений в статью 217 части второй Налогового кодекса Российской Федерации»</w:t>
      </w:r>
    </w:p>
  </w:footnote>
  <w:footnote w:id="14">
    <w:p>
      <w:pPr>
        <w:pStyle w:val="FootnoteText"/>
        <w:rPr>
          <w:rFonts w:ascii="Times New Roman" w:hAnsi="Times New Roman" w:cs="Times New Roman"/>
        </w:rPr>
      </w:pPr>
      <w:r>
        <w:rPr>
          <w:rStyle w:val="Style18"/>
        </w:rPr>
        <w:footnoteRef/>
      </w:r>
      <w:r>
        <w:rPr>
          <w:rFonts w:cs="Times New Roman" w:ascii="Times New Roman" w:hAnsi="Times New Roman"/>
        </w:rPr>
        <w:t xml:space="preserve"> </w:t>
      </w:r>
      <w:hyperlink r:id="rId10">
        <w:r>
          <w:rPr>
            <w:rStyle w:val="Hyperlink"/>
            <w:rFonts w:cs="Times New Roman" w:ascii="Times New Roman" w:hAnsi="Times New Roman"/>
          </w:rPr>
          <w:t>https://naufor.ru/tree.asp?n=31376</w:t>
        </w:r>
      </w:hyperlink>
      <w:r>
        <w:rPr>
          <w:rFonts w:cs="Times New Roman" w:ascii="Times New Roman" w:hAnsi="Times New Roman"/>
        </w:rPr>
        <w:t xml:space="preserve"> </w:t>
      </w:r>
    </w:p>
  </w:footnote>
  <w:footnote w:id="15">
    <w:p>
      <w:pPr>
        <w:pStyle w:val="FootnoteText"/>
        <w:rPr>
          <w:rFonts w:ascii="Times New Roman" w:hAnsi="Times New Roman" w:cs="Times New Roman"/>
        </w:rPr>
      </w:pPr>
      <w:r>
        <w:rPr>
          <w:rStyle w:val="Style18"/>
        </w:rPr>
        <w:footnoteRef/>
      </w:r>
      <w:r>
        <w:rPr>
          <w:rFonts w:cs="Times New Roman" w:ascii="Times New Roman" w:hAnsi="Times New Roman"/>
        </w:rPr>
        <w:t xml:space="preserve"> </w:t>
      </w:r>
      <w:hyperlink r:id="rId11">
        <w:r>
          <w:rPr>
            <w:rStyle w:val="Hyperlink"/>
            <w:rFonts w:cs="Times New Roman" w:ascii="Times New Roman" w:hAnsi="Times New Roman"/>
          </w:rPr>
          <w:t>http://naufor.ru/tree.asp?n=30121&amp;hk=20250417</w:t>
        </w:r>
      </w:hyperlink>
      <w:r>
        <w:rPr>
          <w:rFonts w:cs="Times New Roman" w:ascii="Times New Roman" w:hAnsi="Times New Roman"/>
        </w:rPr>
        <w:t xml:space="preserve"> </w:t>
      </w:r>
    </w:p>
  </w:footnote>
  <w:footnote w:id="16">
    <w:p>
      <w:pPr>
        <w:pStyle w:val="FootnoteText"/>
        <w:rPr>
          <w:rFonts w:ascii="Times New Roman" w:hAnsi="Times New Roman" w:cs="Times New Roman"/>
        </w:rPr>
      </w:pPr>
      <w:r>
        <w:rPr>
          <w:rStyle w:val="Style18"/>
        </w:rPr>
        <w:footnoteRef/>
      </w:r>
      <w:r>
        <w:rPr>
          <w:rFonts w:cs="Times New Roman" w:ascii="Times New Roman" w:hAnsi="Times New Roman"/>
        </w:rPr>
        <w:t xml:space="preserve"> </w:t>
      </w:r>
      <w:hyperlink r:id="rId12">
        <w:r>
          <w:rPr>
            <w:rStyle w:val="Hyperlink"/>
            <w:rFonts w:cs="Times New Roman" w:ascii="Times New Roman" w:hAnsi="Times New Roman"/>
          </w:rPr>
          <w:t>https://naufor.ru/tree.asp?n=29845</w:t>
        </w:r>
      </w:hyperlink>
      <w:r>
        <w:rPr>
          <w:rFonts w:cs="Times New Roman" w:ascii="Times New Roman" w:hAnsi="Times New Roman"/>
        </w:rPr>
        <w:t xml:space="preserve"> </w:t>
      </w:r>
    </w:p>
  </w:footnote>
  <w:footnote w:id="17">
    <w:p>
      <w:pPr>
        <w:pStyle w:val="FootnoteText"/>
        <w:rPr>
          <w:rFonts w:ascii="Times New Roman" w:hAnsi="Times New Roman" w:cs="Times New Roman"/>
        </w:rPr>
      </w:pPr>
      <w:r>
        <w:rPr>
          <w:rStyle w:val="Style18"/>
        </w:rPr>
        <w:footnoteRef/>
      </w:r>
      <w:r>
        <w:rPr>
          <w:rFonts w:cs="Times New Roman" w:ascii="Times New Roman" w:hAnsi="Times New Roman"/>
        </w:rPr>
        <w:t xml:space="preserve"> </w:t>
      </w:r>
      <w:hyperlink r:id="rId13">
        <w:r>
          <w:rPr>
            <w:rStyle w:val="Hyperlink"/>
            <w:rFonts w:cs="Times New Roman" w:ascii="Times New Roman" w:hAnsi="Times New Roman"/>
          </w:rPr>
          <w:t>https://naufor.ru/tree.asp?n=30081</w:t>
        </w:r>
      </w:hyperlink>
      <w:r>
        <w:rPr>
          <w:rFonts w:cs="Times New Roman" w:ascii="Times New Roman" w:hAnsi="Times New Roman"/>
        </w:rPr>
        <w:t xml:space="preserve"> </w:t>
      </w:r>
    </w:p>
  </w:footnote>
  <w:footnote w:id="18">
    <w:p>
      <w:pPr>
        <w:pStyle w:val="FootnoteText"/>
        <w:rPr>
          <w:rFonts w:ascii="Times New Roman" w:hAnsi="Times New Roman" w:cs="Times New Roman"/>
        </w:rPr>
      </w:pPr>
      <w:r>
        <w:rPr>
          <w:rStyle w:val="Style18"/>
        </w:rPr>
        <w:footnoteRef/>
      </w:r>
      <w:r>
        <w:rPr>
          <w:rFonts w:cs="Times New Roman" w:ascii="Times New Roman" w:hAnsi="Times New Roman"/>
        </w:rPr>
        <w:t xml:space="preserve"> </w:t>
      </w:r>
      <w:hyperlink r:id="rId14">
        <w:r>
          <w:rPr>
            <w:rStyle w:val="Hyperlink"/>
            <w:rFonts w:cs="Times New Roman" w:ascii="Times New Roman" w:hAnsi="Times New Roman"/>
          </w:rPr>
          <w:t>https://naufor.ru/tree.asp?n=30127</w:t>
        </w:r>
      </w:hyperlink>
      <w:r>
        <w:rPr>
          <w:rFonts w:cs="Times New Roman" w:ascii="Times New Roman" w:hAnsi="Times New Roman"/>
        </w:rPr>
        <w:t xml:space="preserve"> </w:t>
      </w:r>
    </w:p>
  </w:footnote>
  <w:footnote w:id="19">
    <w:p>
      <w:pPr>
        <w:pStyle w:val="FootnoteText"/>
        <w:rPr>
          <w:rFonts w:ascii="Times New Roman" w:hAnsi="Times New Roman" w:cs="Times New Roman"/>
        </w:rPr>
      </w:pPr>
      <w:r>
        <w:rPr>
          <w:rStyle w:val="Style18"/>
        </w:rPr>
        <w:footnoteRef/>
      </w:r>
      <w:r>
        <w:rPr>
          <w:rFonts w:cs="Times New Roman" w:ascii="Times New Roman" w:hAnsi="Times New Roman"/>
        </w:rPr>
        <w:t xml:space="preserve"> </w:t>
      </w:r>
      <w:hyperlink r:id="rId15">
        <w:r>
          <w:rPr>
            <w:rStyle w:val="Hyperlink"/>
            <w:rFonts w:cs="Times New Roman" w:ascii="Times New Roman" w:hAnsi="Times New Roman"/>
          </w:rPr>
          <w:t>https://naufor.ru/tree.asp?n=31262</w:t>
        </w:r>
      </w:hyperlink>
      <w:r>
        <w:rPr>
          <w:rFonts w:cs="Times New Roman" w:ascii="Times New Roman" w:hAnsi="Times New Roman"/>
        </w:rPr>
        <w:t xml:space="preserve"> </w:t>
      </w:r>
    </w:p>
  </w:footnote>
  <w:footnote w:id="20">
    <w:p>
      <w:pPr>
        <w:pStyle w:val="FootnoteText"/>
        <w:rPr>
          <w:rFonts w:ascii="Times New Roman" w:hAnsi="Times New Roman" w:cs="Times New Roman"/>
        </w:rPr>
      </w:pPr>
      <w:r>
        <w:rPr>
          <w:rStyle w:val="Style18"/>
        </w:rPr>
        <w:footnoteRef/>
      </w:r>
      <w:r>
        <w:rPr>
          <w:rFonts w:cs="Times New Roman" w:ascii="Times New Roman" w:hAnsi="Times New Roman"/>
        </w:rPr>
        <w:t xml:space="preserve"> </w:t>
      </w:r>
      <w:hyperlink r:id="rId16">
        <w:r>
          <w:rPr>
            <w:rStyle w:val="Hyperlink"/>
            <w:rFonts w:cs="Times New Roman" w:ascii="Times New Roman" w:hAnsi="Times New Roman"/>
          </w:rPr>
          <w:t>https://naufor.ru/tree.asp?n=31722</w:t>
        </w:r>
      </w:hyperlink>
      <w:r>
        <w:rPr>
          <w:rFonts w:cs="Times New Roman" w:ascii="Times New Roman" w:hAnsi="Times New Roman"/>
        </w:rPr>
        <w:t xml:space="preserve"> </w:t>
      </w:r>
    </w:p>
  </w:footnote>
  <w:footnote w:id="21">
    <w:p>
      <w:pPr>
        <w:pStyle w:val="FootnoteText"/>
        <w:rPr>
          <w:rFonts w:ascii="Times New Roman" w:hAnsi="Times New Roman" w:cs="Times New Roman"/>
        </w:rPr>
      </w:pPr>
      <w:r>
        <w:rPr>
          <w:rStyle w:val="Style18"/>
        </w:rPr>
        <w:footnoteRef/>
      </w:r>
      <w:r>
        <w:rPr>
          <w:rFonts w:cs="Times New Roman" w:ascii="Times New Roman" w:hAnsi="Times New Roman"/>
        </w:rPr>
        <w:t xml:space="preserve"> </w:t>
      </w:r>
      <w:hyperlink r:id="rId17">
        <w:r>
          <w:rPr>
            <w:rStyle w:val="Hyperlink"/>
            <w:rFonts w:cs="Times New Roman" w:ascii="Times New Roman" w:hAnsi="Times New Roman"/>
          </w:rPr>
          <w:t>https://naufor.ru/elite/winners.asp?wid=30119</w:t>
        </w:r>
      </w:hyperlink>
      <w:r>
        <w:rPr>
          <w:rFonts w:cs="Times New Roman" w:ascii="Times New Roman" w:hAnsi="Times New Roman"/>
        </w:rPr>
        <w:t xml:space="preserve"> </w:t>
      </w:r>
    </w:p>
  </w:footnote>
  <w:footnote w:id="22">
    <w:p>
      <w:pPr>
        <w:pStyle w:val="FootnoteText"/>
        <w:rPr>
          <w:rFonts w:ascii="Times New Roman" w:hAnsi="Times New Roman" w:cs="Times New Roman"/>
        </w:rPr>
      </w:pPr>
      <w:r>
        <w:rPr>
          <w:rStyle w:val="Style18"/>
        </w:rPr>
        <w:footnoteRef/>
      </w:r>
      <w:r>
        <w:rPr>
          <w:rFonts w:cs="Times New Roman" w:ascii="Times New Roman" w:hAnsi="Times New Roman"/>
        </w:rPr>
        <w:t xml:space="preserve"> </w:t>
      </w:r>
      <w:hyperlink r:id="rId18">
        <w:r>
          <w:rPr>
            <w:rStyle w:val="Hyperlink"/>
            <w:rFonts w:cs="Times New Roman" w:ascii="Times New Roman" w:hAnsi="Times New Roman"/>
          </w:rPr>
          <w:t>https://naufor.ru/tree.asp?n=28028</w:t>
        </w:r>
      </w:hyperlink>
      <w:r>
        <w:rPr>
          <w:rFonts w:cs="Times New Roman" w:ascii="Times New Roman" w:hAnsi="Times New Roman"/>
        </w:rPr>
        <w:t xml:space="preserve"> </w:t>
      </w:r>
    </w:p>
  </w:footnote>
  <w:footnote w:id="23">
    <w:p>
      <w:pPr>
        <w:pStyle w:val="FootnoteText"/>
        <w:rPr>
          <w:rFonts w:ascii="Times New Roman" w:hAnsi="Times New Roman" w:cs="Times New Roman"/>
        </w:rPr>
      </w:pPr>
      <w:r>
        <w:rPr>
          <w:rStyle w:val="Style18"/>
        </w:rPr>
        <w:footnoteRef/>
      </w:r>
      <w:r>
        <w:rPr>
          <w:rFonts w:cs="Times New Roman" w:ascii="Times New Roman" w:hAnsi="Times New Roman"/>
        </w:rPr>
        <w:t xml:space="preserve"> </w:t>
      </w:r>
      <w:hyperlink r:id="rId19">
        <w:r>
          <w:rPr>
            <w:rStyle w:val="Hyperlink"/>
            <w:rFonts w:cs="Times New Roman" w:ascii="Times New Roman" w:hAnsi="Times New Roman"/>
          </w:rPr>
          <w:t>https://naufor.ru/tree.asp?n=30187</w:t>
        </w:r>
      </w:hyperlink>
      <w:r>
        <w:rPr>
          <w:rFonts w:cs="Times New Roman" w:ascii="Times New Roman" w:hAnsi="Times New Roman"/>
        </w:rPr>
        <w:t xml:space="preserve"> </w:t>
      </w:r>
    </w:p>
  </w:footnote>
  <w:footnote w:id="24">
    <w:p>
      <w:pPr>
        <w:pStyle w:val="FootnoteText"/>
        <w:rPr>
          <w:rFonts w:ascii="Times New Roman" w:hAnsi="Times New Roman" w:cs="Times New Roman"/>
        </w:rPr>
      </w:pPr>
      <w:r>
        <w:rPr>
          <w:rStyle w:val="Style18"/>
        </w:rPr>
        <w:footnoteRef/>
      </w:r>
      <w:r>
        <w:rPr>
          <w:rFonts w:cs="Times New Roman" w:ascii="Times New Roman" w:hAnsi="Times New Roman"/>
        </w:rPr>
        <w:t xml:space="preserve"> </w:t>
      </w:r>
      <w:hyperlink r:id="rId20">
        <w:r>
          <w:rPr>
            <w:rStyle w:val="Hyperlink"/>
            <w:rFonts w:cs="Times New Roman" w:ascii="Times New Roman" w:hAnsi="Times New Roman"/>
          </w:rPr>
          <w:t>https://naufor.ru/tree.asp?n=30757</w:t>
        </w:r>
      </w:hyperlink>
      <w:r>
        <w:rPr>
          <w:rFonts w:cs="Times New Roman" w:ascii="Times New Roman" w:hAnsi="Times New Roman"/>
        </w:rPr>
        <w:t xml:space="preserve"> </w:t>
      </w:r>
    </w:p>
  </w:footnote>
  <w:footnote w:id="25">
    <w:p>
      <w:pPr>
        <w:pStyle w:val="FootnoteText"/>
        <w:rPr>
          <w:rFonts w:ascii="Times New Roman" w:hAnsi="Times New Roman" w:cs="Times New Roman"/>
        </w:rPr>
      </w:pPr>
      <w:r>
        <w:rPr>
          <w:rStyle w:val="Style18"/>
        </w:rPr>
        <w:footnoteRef/>
      </w:r>
      <w:r>
        <w:rPr>
          <w:rFonts w:cs="Times New Roman" w:ascii="Times New Roman" w:hAnsi="Times New Roman"/>
        </w:rPr>
        <w:t xml:space="preserve"> </w:t>
      </w:r>
      <w:hyperlink r:id="rId21">
        <w:r>
          <w:rPr>
            <w:rStyle w:val="Hyperlink"/>
            <w:rFonts w:cs="Times New Roman" w:ascii="Times New Roman" w:hAnsi="Times New Roman"/>
          </w:rPr>
          <w:t>https://naufor.ru/tree.asp?n=31073</w:t>
        </w:r>
      </w:hyperlink>
      <w:r>
        <w:rPr>
          <w:rFonts w:cs="Times New Roman" w:ascii="Times New Roman" w:hAnsi="Times New Roman"/>
        </w:rPr>
        <w:t xml:space="preserve"> </w:t>
      </w:r>
    </w:p>
  </w:footnote>
  <w:footnote w:id="26">
    <w:p>
      <w:pPr>
        <w:pStyle w:val="FootnoteText"/>
        <w:rPr>
          <w:rFonts w:ascii="Times New Roman" w:hAnsi="Times New Roman" w:cs="Times New Roman"/>
        </w:rPr>
      </w:pPr>
      <w:r>
        <w:rPr>
          <w:rStyle w:val="Style18"/>
        </w:rPr>
        <w:footnoteRef/>
      </w:r>
      <w:r>
        <w:rPr>
          <w:rFonts w:cs="Times New Roman" w:ascii="Times New Roman" w:hAnsi="Times New Roman"/>
        </w:rPr>
        <w:t xml:space="preserve"> </w:t>
      </w:r>
      <w:hyperlink r:id="rId22">
        <w:r>
          <w:rPr>
            <w:rStyle w:val="Hyperlink"/>
            <w:rFonts w:cs="Times New Roman" w:ascii="Times New Roman" w:hAnsi="Times New Roman"/>
          </w:rPr>
          <w:t>https://naufor.ru/tree.asp?n=31224</w:t>
        </w:r>
      </w:hyperlink>
      <w:r>
        <w:rPr>
          <w:rFonts w:cs="Times New Roman" w:ascii="Times New Roman" w:hAnsi="Times New Roman"/>
        </w:rPr>
        <w:t xml:space="preserve"> </w:t>
      </w:r>
    </w:p>
  </w:footnote>
  <w:footnote w:id="27">
    <w:p>
      <w:pPr>
        <w:pStyle w:val="FootnoteText"/>
        <w:rPr>
          <w:rFonts w:ascii="Times New Roman" w:hAnsi="Times New Roman" w:cs="Times New Roman"/>
        </w:rPr>
      </w:pPr>
      <w:r>
        <w:rPr>
          <w:rStyle w:val="Style18"/>
        </w:rPr>
        <w:footnoteRef/>
      </w:r>
      <w:r>
        <w:rPr>
          <w:rFonts w:cs="Times New Roman" w:ascii="Times New Roman" w:hAnsi="Times New Roman"/>
        </w:rPr>
        <w:t xml:space="preserve"> </w:t>
      </w:r>
      <w:hyperlink r:id="rId23">
        <w:r>
          <w:rPr>
            <w:rStyle w:val="Hyperlink"/>
            <w:rFonts w:cs="Times New Roman" w:ascii="Times New Roman" w:hAnsi="Times New Roman"/>
          </w:rPr>
          <w:t>https://naufor.ru/tree.asp?n=25802</w:t>
        </w:r>
      </w:hyperlink>
      <w:r>
        <w:rPr>
          <w:rFonts w:cs="Times New Roman" w:ascii="Times New Roman" w:hAnsi="Times New Roman"/>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5080" distB="5080" distL="5715" distR="4445" simplePos="0" locked="0" layoutInCell="1" allowOverlap="1" relativeHeight="2">
              <wp:simplePos x="0" y="0"/>
              <wp:positionH relativeFrom="column">
                <wp:posOffset>0</wp:posOffset>
              </wp:positionH>
              <wp:positionV relativeFrom="paragraph">
                <wp:posOffset>635</wp:posOffset>
              </wp:positionV>
              <wp:extent cx="6609715" cy="685800"/>
              <wp:effectExtent l="5715" t="5080" r="4445" b="5080"/>
              <wp:wrapNone/>
              <wp:docPr id="2" name="Text Box 3"/>
              <a:graphic xmlns:a="http://schemas.openxmlformats.org/drawingml/2006/main">
                <a:graphicData uri="http://schemas.microsoft.com/office/word/2010/wordprocessingShape">
                  <wps:wsp>
                    <wps:cNvSpPr/>
                    <wps:spPr>
                      <a:xfrm>
                        <a:off x="0" y="0"/>
                        <a:ext cx="6609600" cy="685800"/>
                      </a:xfrm>
                      <a:prstGeom prst="rect">
                        <a:avLst/>
                      </a:prstGeom>
                      <a:solidFill>
                        <a:srgbClr val="ffffff"/>
                      </a:solidFill>
                      <a:ln w="9525">
                        <a:solidFill>
                          <a:srgbClr val="ffffff"/>
                        </a:solidFill>
                        <a:miter/>
                      </a:ln>
                    </wps:spPr>
                    <wps:style>
                      <a:lnRef idx="0"/>
                      <a:fillRef idx="0"/>
                      <a:effectRef idx="0"/>
                      <a:fontRef idx="minor"/>
                    </wps:style>
                    <wps:txbx>
                      <w:txbxContent>
                        <w:p>
                          <w:pPr>
                            <w:pStyle w:val="Style28"/>
                            <w:spacing w:lineRule="auto" w:line="240" w:before="0" w:after="0"/>
                            <w:ind w:firstLine="5529"/>
                            <w:rPr>
                              <w:rFonts w:ascii="ALS Hauss Book" w:hAnsi="ALS Hauss Book"/>
                              <w:b/>
                              <w:sz w:val="20"/>
                              <w:szCs w:val="20"/>
                            </w:rPr>
                          </w:pPr>
                          <w:r>
                            <w:rPr>
                              <w:rFonts w:ascii="ALS Hauss Book" w:hAnsi="ALS Hauss Book"/>
                              <w:b/>
                              <w:color w:val="000000"/>
                              <w:sz w:val="20"/>
                              <w:szCs w:val="20"/>
                            </w:rPr>
                            <w:t>Отчет Президента НАУФОР за 2025 год</w:t>
                          </w:r>
                        </w:p>
                        <w:p>
                          <w:pPr>
                            <w:pStyle w:val="Style28"/>
                            <w:spacing w:lineRule="auto" w:line="240" w:before="0" w:after="0"/>
                            <w:jc w:val="end"/>
                            <w:rPr>
                              <w:rFonts w:ascii="ALS Hauss Book" w:hAnsi="ALS Hauss Book"/>
                              <w:b/>
                              <w:sz w:val="16"/>
                              <w:szCs w:val="16"/>
                            </w:rPr>
                          </w:pPr>
                          <w:r>
                            <w:rPr>
                              <w:rFonts w:ascii="ALS Hauss Book" w:hAnsi="ALS Hauss Book"/>
                              <w:b/>
                              <w:color w:val="000000"/>
                              <w:sz w:val="16"/>
                              <w:szCs w:val="16"/>
                            </w:rPr>
                          </w:r>
                        </w:p>
                      </w:txbxContent>
                    </wps:txbx>
                    <wps:bodyPr anchor="ctr" upright="1">
                      <a:noAutofit/>
                    </wps:bodyPr>
                  </wps:wsp>
                </a:graphicData>
              </a:graphic>
            </wp:anchor>
          </w:drawing>
        </mc:Choice>
        <mc:Fallback>
          <w:pict>
            <v:rect id="shape_0" ID="Text Box 3" path="m0,0l-2147483645,0l-2147483645,-2147483646l0,-2147483646xe" fillcolor="white" stroked="t" o:allowincell="f" style="position:absolute;margin-left:0pt;margin-top:0.05pt;width:520.4pt;height:53.95pt;mso-wrap-style:square;v-text-anchor:middle">
              <v:fill o:detectmouseclick="t" type="solid" color2="black"/>
              <v:stroke color="white" weight="9360" joinstyle="miter" endcap="flat"/>
              <v:textbox>
                <w:txbxContent>
                  <w:p>
                    <w:pPr>
                      <w:pStyle w:val="Style28"/>
                      <w:spacing w:lineRule="auto" w:line="240" w:before="0" w:after="0"/>
                      <w:ind w:firstLine="5529"/>
                      <w:rPr>
                        <w:rFonts w:ascii="ALS Hauss Book" w:hAnsi="ALS Hauss Book"/>
                        <w:b/>
                        <w:sz w:val="20"/>
                        <w:szCs w:val="20"/>
                      </w:rPr>
                    </w:pPr>
                    <w:r>
                      <w:rPr>
                        <w:rFonts w:ascii="ALS Hauss Book" w:hAnsi="ALS Hauss Book"/>
                        <w:b/>
                        <w:color w:val="000000"/>
                        <w:sz w:val="20"/>
                        <w:szCs w:val="20"/>
                      </w:rPr>
                      <w:t>Отчет Президента НАУФОР за 2025 год</w:t>
                    </w:r>
                  </w:p>
                  <w:p>
                    <w:pPr>
                      <w:pStyle w:val="Style28"/>
                      <w:spacing w:lineRule="auto" w:line="240" w:before="0" w:after="0"/>
                      <w:jc w:val="end"/>
                      <w:rPr>
                        <w:rFonts w:ascii="ALS Hauss Book" w:hAnsi="ALS Hauss Book"/>
                        <w:b/>
                        <w:sz w:val="16"/>
                        <w:szCs w:val="16"/>
                      </w:rPr>
                    </w:pPr>
                    <w:r>
                      <w:rPr>
                        <w:rFonts w:ascii="ALS Hauss Book" w:hAnsi="ALS Hauss Book"/>
                        <w:b/>
                        <w:color w:val="000000"/>
                        <w:sz w:val="16"/>
                        <w:szCs w:val="16"/>
                      </w:rPr>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themeColor="text2" w:themeTint="33" w:val="C6D9F1"/>
        <w:sz w:val="32"/>
        <w:lang w:val="en-US"/>
      </w:rPr>
    </w:pPr>
    <w:r>
      <w:rPr>
        <w:b/>
        <w:color w:themeColor="text2" w:themeTint="33" w:val="C6D9F1"/>
        <w:sz w:val="32"/>
        <w:lang w:val="en-US"/>
      </w:rPr>
    </w:r>
  </w:p>
  <w:p>
    <w:pPr>
      <w:pStyle w:val="Header"/>
      <w:jc w:val="center"/>
      <w:rPr>
        <w:b/>
        <w:lang w:val="en-US"/>
      </w:rPr>
    </w:pPr>
    <w:r>
      <w:rPr>
        <w:b/>
        <w:lang w:val="en-U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hyphenationZone w:val="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1e0435"/>
    <w:pPr>
      <w:widowControl/>
      <w:suppressAutoHyphens w:val="true"/>
      <w:bidi w:val="0"/>
      <w:spacing w:lineRule="auto" w:line="276" w:before="0" w:after="200"/>
      <w:jc w:val="start"/>
    </w:pPr>
    <w:rPr>
      <w:rFonts w:ascii="Calibri" w:hAnsi="Calibri" w:eastAsia="" w:cs="" w:asciiTheme="minorHAnsi" w:cstheme="minorBidi" w:eastAsiaTheme="minorEastAsia" w:hAnsiTheme="minorHAnsi"/>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uiPriority w:val="99"/>
    <w:qFormat/>
    <w:rsid w:val="00763881"/>
    <w:rPr/>
  </w:style>
  <w:style w:type="character" w:styleId="Style15" w:customStyle="1">
    <w:name w:val="Нижний колонтитул Знак"/>
    <w:basedOn w:val="DefaultParagraphFont"/>
    <w:uiPriority w:val="99"/>
    <w:qFormat/>
    <w:rsid w:val="00763881"/>
    <w:rPr/>
  </w:style>
  <w:style w:type="character" w:styleId="jlqj4b" w:customStyle="1">
    <w:name w:val="jlqj4b"/>
    <w:basedOn w:val="DefaultParagraphFont"/>
    <w:qFormat/>
    <w:rsid w:val="0031158f"/>
    <w:rPr/>
  </w:style>
  <w:style w:type="character" w:styleId="Style16" w:customStyle="1">
    <w:name w:val="Текст выноски Знак"/>
    <w:basedOn w:val="DefaultParagraphFont"/>
    <w:link w:val="BalloonText"/>
    <w:uiPriority w:val="99"/>
    <w:semiHidden/>
    <w:qFormat/>
    <w:rsid w:val="0031158f"/>
    <w:rPr>
      <w:rFonts w:ascii="Tahoma" w:hAnsi="Tahoma" w:cs="Tahoma"/>
      <w:sz w:val="16"/>
      <w:szCs w:val="16"/>
    </w:rPr>
  </w:style>
  <w:style w:type="character" w:styleId="sub" w:customStyle="1">
    <w:name w:val="sub"/>
    <w:basedOn w:val="DefaultParagraphFont"/>
    <w:qFormat/>
    <w:rsid w:val="00857ad5"/>
    <w:rPr/>
  </w:style>
  <w:style w:type="character" w:styleId="super" w:customStyle="1">
    <w:name w:val="super"/>
    <w:basedOn w:val="DefaultParagraphFont"/>
    <w:qFormat/>
    <w:rsid w:val="00857ad5"/>
    <w:rPr/>
  </w:style>
  <w:style w:type="character" w:styleId="apple-converted-space" w:customStyle="1">
    <w:name w:val="apple-converted-space"/>
    <w:basedOn w:val="DefaultParagraphFont"/>
    <w:qFormat/>
    <w:rsid w:val="00857ad5"/>
    <w:rPr/>
  </w:style>
  <w:style w:type="character" w:styleId="Style17" w:customStyle="1">
    <w:name w:val="Текст сноски Знак"/>
    <w:basedOn w:val="DefaultParagraphFont"/>
    <w:qFormat/>
    <w:rsid w:val="00026e65"/>
    <w:rPr>
      <w:sz w:val="20"/>
      <w:szCs w:val="20"/>
    </w:rPr>
  </w:style>
  <w:style w:type="character" w:styleId="Style18" w:customStyle="1">
    <w:name w:val="Символ сноски"/>
    <w:unhideWhenUsed/>
    <w:qFormat/>
    <w:rsid w:val="00026e65"/>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391969"/>
    <w:rPr>
      <w:color w:val="0000FF"/>
      <w:u w:val="single"/>
    </w:rPr>
  </w:style>
  <w:style w:type="character" w:styleId="Style19" w:customStyle="1">
    <w:name w:val="Абзац списка Знак"/>
    <w:basedOn w:val="DefaultParagraphFont"/>
    <w:link w:val="ListParagraph"/>
    <w:uiPriority w:val="34"/>
    <w:qFormat/>
    <w:locked/>
    <w:rsid w:val="00391969"/>
    <w:rPr/>
  </w:style>
  <w:style w:type="character" w:styleId="CommentReference">
    <w:name w:val="annotation reference"/>
    <w:basedOn w:val="DefaultParagraphFont"/>
    <w:uiPriority w:val="99"/>
    <w:semiHidden/>
    <w:unhideWhenUsed/>
    <w:qFormat/>
    <w:rsid w:val="00001a62"/>
    <w:rPr>
      <w:sz w:val="16"/>
      <w:szCs w:val="16"/>
    </w:rPr>
  </w:style>
  <w:style w:type="character" w:styleId="Style20" w:customStyle="1">
    <w:name w:val="Текст примечания Знак"/>
    <w:basedOn w:val="DefaultParagraphFont"/>
    <w:uiPriority w:val="99"/>
    <w:semiHidden/>
    <w:qFormat/>
    <w:rsid w:val="00001a62"/>
    <w:rPr>
      <w:sz w:val="20"/>
      <w:szCs w:val="20"/>
    </w:rPr>
  </w:style>
  <w:style w:type="character" w:styleId="Style21" w:customStyle="1">
    <w:name w:val="Тема примечания Знак"/>
    <w:basedOn w:val="Style20"/>
    <w:link w:val="annotationsubject"/>
    <w:uiPriority w:val="99"/>
    <w:semiHidden/>
    <w:qFormat/>
    <w:rsid w:val="00001a62"/>
    <w:rPr>
      <w:b/>
      <w:bCs/>
      <w:sz w:val="20"/>
      <w:szCs w:val="20"/>
    </w:rPr>
  </w:style>
  <w:style w:type="character" w:styleId="1" w:customStyle="1">
    <w:name w:val="Неразрешенное упоминание1"/>
    <w:basedOn w:val="DefaultParagraphFont"/>
    <w:uiPriority w:val="99"/>
    <w:semiHidden/>
    <w:unhideWhenUsed/>
    <w:qFormat/>
    <w:rsid w:val="00001a62"/>
    <w:rPr>
      <w:color w:val="605E5C"/>
      <w:shd w:fill="E1DFDD" w:val="clear"/>
    </w:rPr>
  </w:style>
  <w:style w:type="character" w:styleId="Style22" w:customStyle="1">
    <w:name w:val="Текст концевой сноски Знак"/>
    <w:basedOn w:val="DefaultParagraphFont"/>
    <w:uiPriority w:val="99"/>
    <w:semiHidden/>
    <w:qFormat/>
    <w:rsid w:val="00b6487f"/>
    <w:rPr>
      <w:sz w:val="20"/>
      <w:szCs w:val="20"/>
    </w:rPr>
  </w:style>
  <w:style w:type="character" w:styleId="Style23" w:customStyle="1">
    <w:name w:val="Символ концевой сноски"/>
    <w:uiPriority w:val="99"/>
    <w:semiHidden/>
    <w:unhideWhenUsed/>
    <w:qFormat/>
    <w:rsid w:val="00b6487f"/>
    <w:rPr>
      <w:vertAlign w:val="superscript"/>
    </w:rPr>
  </w:style>
  <w:style w:type="character" w:styleId="EndnoteReference">
    <w:name w:val="endnote reference"/>
    <w:rPr>
      <w:vertAlign w:val="superscript"/>
    </w:rPr>
  </w:style>
  <w:style w:type="character" w:styleId="FollowedHyperlink">
    <w:name w:val="FollowedHyperlink"/>
    <w:basedOn w:val="DefaultParagraphFont"/>
    <w:uiPriority w:val="99"/>
    <w:semiHidden/>
    <w:unhideWhenUsed/>
    <w:rsid w:val="004c6b26"/>
    <w:rPr>
      <w:color w:themeColor="followedHyperlink" w:val="800080"/>
      <w:u w:val="single"/>
    </w:rPr>
  </w:style>
  <w:style w:type="character" w:styleId="Style24" w:customStyle="1">
    <w:name w:val="Основной текст Знак"/>
    <w:basedOn w:val="DefaultParagraphFont"/>
    <w:semiHidden/>
    <w:qFormat/>
    <w:rsid w:val="00710116"/>
    <w:rPr>
      <w:rFonts w:ascii="Times New Roman" w:hAnsi="Times New Roman" w:eastAsia="Times New Roman" w:cs="Times New Roman"/>
      <w:b/>
      <w:color w:val="000000"/>
      <w:sz w:val="24"/>
      <w:szCs w:val="20"/>
    </w:rPr>
  </w:style>
  <w:style w:type="character" w:styleId="2" w:customStyle="1">
    <w:name w:val="Неразрешенное упоминание2"/>
    <w:basedOn w:val="DefaultParagraphFont"/>
    <w:uiPriority w:val="99"/>
    <w:semiHidden/>
    <w:unhideWhenUsed/>
    <w:qFormat/>
    <w:rsid w:val="00fc7192"/>
    <w:rPr>
      <w:color w:val="605E5C"/>
      <w:shd w:fill="E1DFDD" w:val="clear"/>
    </w:rPr>
  </w:style>
  <w:style w:type="character" w:styleId="UnresolvedMention">
    <w:name w:val="Unresolved Mention"/>
    <w:basedOn w:val="DefaultParagraphFont"/>
    <w:uiPriority w:val="99"/>
    <w:semiHidden/>
    <w:unhideWhenUsed/>
    <w:qFormat/>
    <w:rsid w:val="009b5823"/>
    <w:rPr>
      <w:color w:val="605E5C"/>
      <w:shd w:fill="E1DFDD" w:val="clear"/>
    </w:rPr>
  </w:style>
  <w:style w:type="paragraph" w:styleId="Style25" w:customStyle="1">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24"/>
    <w:semiHidden/>
    <w:rsid w:val="00710116"/>
    <w:pPr>
      <w:spacing w:lineRule="auto" w:line="240" w:before="0" w:after="0"/>
    </w:pPr>
    <w:rPr>
      <w:rFonts w:ascii="Times New Roman" w:hAnsi="Times New Roman" w:eastAsia="Times New Roman" w:cs="Times New Roman"/>
      <w:b/>
      <w:color w:val="000000"/>
      <w:sz w:val="24"/>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26" w:customStyle="1">
    <w:name w:val="Указатель"/>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IndexHeading">
    <w:name w:val="index heading"/>
    <w:basedOn w:val="Normal"/>
    <w:qFormat/>
    <w:pPr>
      <w:suppressLineNumbers/>
    </w:pPr>
    <w:rPr>
      <w:rFonts w:cs="Arial"/>
    </w:rPr>
  </w:style>
  <w:style w:type="paragraph" w:styleId="HeaderandFooter" w:customStyle="1">
    <w:name w:val="Header and Footer"/>
    <w:basedOn w:val="Normal"/>
    <w:qFormat/>
    <w:pPr/>
    <w:rPr/>
  </w:style>
  <w:style w:type="paragraph" w:styleId="Header">
    <w:name w:val="header"/>
    <w:basedOn w:val="Normal"/>
    <w:link w:val="Style14"/>
    <w:uiPriority w:val="99"/>
    <w:unhideWhenUsed/>
    <w:rsid w:val="00763881"/>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unhideWhenUsed/>
    <w:rsid w:val="00763881"/>
    <w:pPr>
      <w:tabs>
        <w:tab w:val="clear" w:pos="708"/>
        <w:tab w:val="center" w:pos="4677" w:leader="none"/>
        <w:tab w:val="right" w:pos="9355" w:leader="none"/>
      </w:tabs>
      <w:spacing w:lineRule="auto" w:line="240" w:before="0" w:after="0"/>
    </w:pPr>
    <w:rPr/>
  </w:style>
  <w:style w:type="paragraph" w:styleId="BalloonText">
    <w:name w:val="Balloon Text"/>
    <w:basedOn w:val="Normal"/>
    <w:link w:val="Style16"/>
    <w:uiPriority w:val="99"/>
    <w:semiHidden/>
    <w:unhideWhenUsed/>
    <w:qFormat/>
    <w:rsid w:val="0031158f"/>
    <w:pPr>
      <w:spacing w:lineRule="auto" w:line="240" w:before="0" w:after="0"/>
    </w:pPr>
    <w:rPr>
      <w:rFonts w:ascii="Tahoma" w:hAnsi="Tahoma" w:cs="Tahoma"/>
      <w:sz w:val="16"/>
      <w:szCs w:val="16"/>
    </w:rPr>
  </w:style>
  <w:style w:type="paragraph" w:styleId="tbl-hdr" w:customStyle="1">
    <w:name w:val="tbl-hdr"/>
    <w:basedOn w:val="Normal"/>
    <w:qFormat/>
    <w:rsid w:val="006a68c8"/>
    <w:pPr>
      <w:spacing w:lineRule="auto" w:line="240" w:beforeAutospacing="1" w:afterAutospacing="1"/>
    </w:pPr>
    <w:rPr>
      <w:rFonts w:ascii="Times New Roman" w:hAnsi="Times New Roman" w:eastAsia="Times New Roman" w:cs="Times New Roman"/>
      <w:sz w:val="24"/>
      <w:szCs w:val="24"/>
    </w:rPr>
  </w:style>
  <w:style w:type="paragraph" w:styleId="tbl-txt" w:customStyle="1">
    <w:name w:val="tbl-txt"/>
    <w:basedOn w:val="Normal"/>
    <w:qFormat/>
    <w:rsid w:val="006a68c8"/>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Normal"/>
    <w:link w:val="Style19"/>
    <w:uiPriority w:val="34"/>
    <w:qFormat/>
    <w:rsid w:val="00847b24"/>
    <w:pPr>
      <w:spacing w:lineRule="auto" w:line="259" w:before="0" w:after="160"/>
      <w:ind w:start="720"/>
      <w:contextualSpacing/>
    </w:pPr>
    <w:rPr/>
  </w:style>
  <w:style w:type="paragraph" w:styleId="FootnoteText">
    <w:name w:val="footnote text"/>
    <w:basedOn w:val="Normal"/>
    <w:link w:val="Style17"/>
    <w:unhideWhenUsed/>
    <w:rsid w:val="00026e65"/>
    <w:pPr>
      <w:spacing w:lineRule="auto" w:line="240" w:before="0" w:after="0"/>
    </w:pPr>
    <w:rPr>
      <w:sz w:val="20"/>
      <w:szCs w:val="20"/>
    </w:rPr>
  </w:style>
  <w:style w:type="paragraph" w:styleId="NormalWeb">
    <w:name w:val="Normal (Web)"/>
    <w:basedOn w:val="Normal"/>
    <w:unhideWhenUsed/>
    <w:qFormat/>
    <w:rsid w:val="00fd1282"/>
    <w:pPr>
      <w:spacing w:lineRule="auto" w:line="240" w:beforeAutospacing="1" w:afterAutospacing="1"/>
    </w:pPr>
    <w:rPr>
      <w:rFonts w:ascii="Times New Roman" w:hAnsi="Times New Roman" w:eastAsia="Times New Roman" w:cs="Times New Roman"/>
      <w:sz w:val="24"/>
      <w:szCs w:val="24"/>
    </w:rPr>
  </w:style>
  <w:style w:type="paragraph" w:styleId="CommentText">
    <w:name w:val="annotation text"/>
    <w:basedOn w:val="Normal"/>
    <w:link w:val="Style20"/>
    <w:uiPriority w:val="99"/>
    <w:semiHidden/>
    <w:unhideWhenUsed/>
    <w:rsid w:val="00001a62"/>
    <w:pPr>
      <w:spacing w:lineRule="auto" w:line="240"/>
    </w:pPr>
    <w:rPr>
      <w:sz w:val="20"/>
      <w:szCs w:val="20"/>
    </w:rPr>
  </w:style>
  <w:style w:type="paragraph" w:styleId="annotationsubject">
    <w:name w:val="annotation subject"/>
    <w:basedOn w:val="CommentText"/>
    <w:next w:val="CommentText"/>
    <w:link w:val="Style21"/>
    <w:uiPriority w:val="99"/>
    <w:semiHidden/>
    <w:unhideWhenUsed/>
    <w:qFormat/>
    <w:rsid w:val="00001a62"/>
    <w:pPr/>
    <w:rPr>
      <w:b/>
      <w:bCs/>
    </w:rPr>
  </w:style>
  <w:style w:type="paragraph" w:styleId="EndnoteText">
    <w:name w:val="endnote text"/>
    <w:basedOn w:val="Normal"/>
    <w:link w:val="Style22"/>
    <w:uiPriority w:val="99"/>
    <w:semiHidden/>
    <w:unhideWhenUsed/>
    <w:rsid w:val="00b6487f"/>
    <w:pPr>
      <w:spacing w:lineRule="auto" w:line="240" w:before="0" w:after="0"/>
    </w:pPr>
    <w:rPr>
      <w:sz w:val="20"/>
      <w:szCs w:val="20"/>
    </w:rPr>
  </w:style>
  <w:style w:type="paragraph" w:styleId="Style27" w:customStyle="1">
    <w:name w:val="Îáû÷íûé"/>
    <w:qFormat/>
    <w:rsid w:val="00073ab6"/>
    <w:pPr>
      <w:widowControl/>
      <w:suppressAutoHyphens w:val="true"/>
      <w:bidi w:val="0"/>
      <w:spacing w:before="0" w:after="0"/>
      <w:jc w:val="start"/>
    </w:pPr>
    <w:rPr>
      <w:rFonts w:ascii="Times New Roman" w:hAnsi="Times New Roman" w:eastAsia="Times New Roman" w:cs="Times New Roman"/>
      <w:color w:val="auto"/>
      <w:kern w:val="0"/>
      <w:sz w:val="20"/>
      <w:szCs w:val="20"/>
      <w:lang w:val="en-US" w:eastAsia="ru-RU" w:bidi="ar-SA"/>
    </w:rPr>
  </w:style>
  <w:style w:type="paragraph" w:styleId="Style28" w:customStyle="1">
    <w:name w:val="Содержимое врезки"/>
    <w:basedOn w:val="Normal"/>
    <w:qFormat/>
    <w:pPr/>
    <w:rPr/>
  </w:style>
  <w:style w:type="paragraph" w:styleId="user" w:customStyle="1">
    <w:name w:val="Содержимое врезки (user)"/>
    <w:basedOn w:val="Normal"/>
    <w:qFormat/>
    <w:pPr/>
    <w:rPr/>
  </w:style>
  <w:style w:type="numbering" w:styleId="Style29" w:customStyle="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5">
    <w:name w:val="Table Grid"/>
    <w:basedOn w:val="a1"/>
    <w:uiPriority w:val="39"/>
    <w:rsid w:val="0031158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sv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notes" Target="footnotes.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s://naufor.ru/tree.asp?n=29860" TargetMode="External"/><Relationship Id="rId2" Type="http://schemas.openxmlformats.org/officeDocument/2006/relationships/hyperlink" Target="https://naufor.ru/tree.asp?n=31917" TargetMode="External"/><Relationship Id="rId3" Type="http://schemas.openxmlformats.org/officeDocument/2006/relationships/hyperlink" Target="https://naufor.ru/tree.asp?n=30037" TargetMode="External"/><Relationship Id="rId4" Type="http://schemas.openxmlformats.org/officeDocument/2006/relationships/hyperlink" Target="https://naufor.ru/tree.asp?n=31951" TargetMode="External"/><Relationship Id="rId5" Type="http://schemas.openxmlformats.org/officeDocument/2006/relationships/hyperlink" Target="https://naufor.ru/tree.asp?n=30531" TargetMode="External"/><Relationship Id="rId6" Type="http://schemas.openxmlformats.org/officeDocument/2006/relationships/hyperlink" Target="https://naufor.ru/tree.asp?n=30804" TargetMode="External"/><Relationship Id="rId7" Type="http://schemas.openxmlformats.org/officeDocument/2006/relationships/hyperlink" Target="https://naufor.ru/tree.asp?n=30949" TargetMode="External"/><Relationship Id="rId8" Type="http://schemas.openxmlformats.org/officeDocument/2006/relationships/hyperlink" Target="https://naufor.ru/tree.asp?n=31246" TargetMode="External"/><Relationship Id="rId9" Type="http://schemas.openxmlformats.org/officeDocument/2006/relationships/hyperlink" Target="https://naufor.ru/tree.asp?n=31273" TargetMode="External"/><Relationship Id="rId10" Type="http://schemas.openxmlformats.org/officeDocument/2006/relationships/hyperlink" Target="https://naufor.ru/tree.asp?n=31376" TargetMode="External"/><Relationship Id="rId11" Type="http://schemas.openxmlformats.org/officeDocument/2006/relationships/hyperlink" Target="http://naufor.ru/tree.asp?n=30121&amp;hk=20250417" TargetMode="External"/><Relationship Id="rId12" Type="http://schemas.openxmlformats.org/officeDocument/2006/relationships/hyperlink" Target="https://naufor.ru/tree.asp?n=29845" TargetMode="External"/><Relationship Id="rId13" Type="http://schemas.openxmlformats.org/officeDocument/2006/relationships/hyperlink" Target="https://naufor.ru/tree.asp?n=30081" TargetMode="External"/><Relationship Id="rId14" Type="http://schemas.openxmlformats.org/officeDocument/2006/relationships/hyperlink" Target="https://naufor.ru/tree.asp?n=30127" TargetMode="External"/><Relationship Id="rId15" Type="http://schemas.openxmlformats.org/officeDocument/2006/relationships/hyperlink" Target="https://naufor.ru/tree.asp?n=31262" TargetMode="External"/><Relationship Id="rId16" Type="http://schemas.openxmlformats.org/officeDocument/2006/relationships/hyperlink" Target="https://naufor.ru/tree.asp?n=31722" TargetMode="External"/><Relationship Id="rId17" Type="http://schemas.openxmlformats.org/officeDocument/2006/relationships/hyperlink" Target="https://naufor.ru/elite/winners.asp?wid=30119" TargetMode="External"/><Relationship Id="rId18" Type="http://schemas.openxmlformats.org/officeDocument/2006/relationships/hyperlink" Target="https://naufor.ru/tree.asp?n=28028" TargetMode="External"/><Relationship Id="rId19" Type="http://schemas.openxmlformats.org/officeDocument/2006/relationships/hyperlink" Target="https://naufor.ru/tree.asp?n=30187" TargetMode="External"/><Relationship Id="rId20" Type="http://schemas.openxmlformats.org/officeDocument/2006/relationships/hyperlink" Target="https://naufor.ru/tree.asp?n=30757" TargetMode="External"/><Relationship Id="rId21" Type="http://schemas.openxmlformats.org/officeDocument/2006/relationships/hyperlink" Target="https://naufor.ru/tree.asp?n=31073" TargetMode="External"/><Relationship Id="rId22" Type="http://schemas.openxmlformats.org/officeDocument/2006/relationships/hyperlink" Target="https://naufor.ru/tree.asp?n=31224" TargetMode="External"/><Relationship Id="rId23" Type="http://schemas.openxmlformats.org/officeDocument/2006/relationships/hyperlink" Target="https://naufor.ru/tree.asp?n=25802" TargetMode="Externa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E864F-C94E-4AFC-A592-E5F5E44E4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Application>LibreOffice/24.8.7.1$Windows_X86_64 LibreOffice_project/67172c63871c755bc0e5f9fc0c892575790cdcf6</Application>
  <AppVersion>15.0000</AppVersion>
  <Pages>20</Pages>
  <Words>5048</Words>
  <Characters>36582</Characters>
  <CharactersWithSpaces>41591</CharactersWithSpaces>
  <Paragraphs>196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2026-04-10T14:34:00Z</dcterms:created>
  <dc:creator>zverev</dc:creator>
  <dc:description/>
  <dc:language>ru-RU</dc:language>
  <cp:lastModifiedBy/>
  <cp:lastPrinted>2026-03-27T06:40:00Z</cp:lastPrinted>
  <dcterms:modified xsi:type="dcterms:W3CDTF">2026-06-18T11:58:46Z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