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svg" ContentType="image/svg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footnotes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96" w:after="96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127635</wp:posOffset>
            </wp:positionH>
            <wp:positionV relativeFrom="paragraph">
              <wp:posOffset>17780</wp:posOffset>
            </wp:positionV>
            <wp:extent cx="3357880" cy="224790"/>
            <wp:effectExtent l="0" t="0" r="0" b="0"/>
            <wp:wrapNone/>
            <wp:docPr id="1" name="Рисунок 6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6" descr="" title="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96DAC541-7B7A-43D3-8B79-37D633B846F1}">
                          <asvg:svgBlip xmlns:asvg="http://schemas.microsoft.com/office/drawing/2016/SVG/main" r:embed="rId3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7880" cy="224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 w:before="96" w:after="96"/>
        <w:ind w:start="284" w:end="284"/>
        <w:jc w:val="end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Проект</w:t>
      </w:r>
    </w:p>
    <w:p>
      <w:pPr>
        <w:pStyle w:val="Normal"/>
        <w:spacing w:lineRule="auto" w:line="240" w:before="96" w:after="9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96" w:after="9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96" w:after="96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96" w:after="96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8" w:after="8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Приоритетные направления деятельности НАУФОР в 2026 году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uppressAutoHyphens w:val="true"/>
        <w:spacing w:lineRule="auto" w:line="360" w:before="0"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Приоритетные направления деятельности НАУФОР разработаны в соответствии </w:t>
        <w:br/>
        <w:t>с Федеральным законом «О саморегулируемых организациях в сфере финансового рынка», Уставом НАУФОР и соответствуют целями деятельности НАУФОР как саморегулируемой организации на финансовом рынке:</w:t>
      </w:r>
    </w:p>
    <w:p>
      <w:pPr>
        <w:pStyle w:val="Normal"/>
        <w:suppressAutoHyphens w:val="true"/>
        <w:spacing w:lineRule="auto" w:line="360" w:before="0"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развитие финансового рынка Российской Федерации, содействие созданию условий для эффективного функционирования финансовой системы Российской Федерации и обеспечения ее стабильности;</w:t>
      </w:r>
    </w:p>
    <w:p>
      <w:pPr>
        <w:pStyle w:val="Normal"/>
        <w:suppressAutoHyphens w:val="true"/>
        <w:spacing w:lineRule="auto" w:line="360" w:before="0"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реализация экономической инициативы членов НАУФОР;</w:t>
      </w:r>
    </w:p>
    <w:p>
      <w:pPr>
        <w:pStyle w:val="Normal"/>
        <w:suppressAutoHyphens w:val="true"/>
        <w:spacing w:lineRule="auto" w:line="360" w:before="0"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защита и представление интересов членов НАУФОР в Банке России, федеральных органах исполнительной власти, органах исполнительной власти субъектов Российской Федерации, органах местного самоуправления, судах, международных организациях.</w:t>
      </w:r>
    </w:p>
    <w:p>
      <w:pPr>
        <w:pStyle w:val="BodyText"/>
        <w:suppressAutoHyphens w:val="true"/>
        <w:spacing w:lineRule="auto" w:line="360" w:before="0" w:after="0"/>
        <w:ind w:firstLine="567"/>
        <w:rPr>
          <w:sz w:val="24"/>
          <w:szCs w:val="24"/>
        </w:rPr>
      </w:pPr>
      <w:r>
        <w:rPr>
          <w:sz w:val="24"/>
          <w:szCs w:val="24"/>
        </w:rPr>
        <w:t>В рамках этих целей НАУФОР реализует следующие задачи:</w:t>
      </w:r>
    </w:p>
    <w:p>
      <w:pPr>
        <w:pStyle w:val="BodyText"/>
        <w:suppressAutoHyphens w:val="true"/>
        <w:spacing w:lineRule="auto" w:line="360" w:before="0" w:after="0"/>
        <w:ind w:firstLine="567"/>
        <w:rPr>
          <w:sz w:val="24"/>
          <w:szCs w:val="24"/>
        </w:rPr>
      </w:pPr>
      <w:r>
        <w:rPr>
          <w:sz w:val="24"/>
          <w:szCs w:val="24"/>
        </w:rPr>
        <w:t>расширение круга финансовых инструментов, обращающихся на внутреннем рынке;</w:t>
      </w:r>
    </w:p>
    <w:p>
      <w:pPr>
        <w:pStyle w:val="BodyText"/>
        <w:suppressAutoHyphens w:val="true"/>
        <w:spacing w:lineRule="auto" w:line="360" w:before="0" w:after="0"/>
        <w:ind w:firstLine="567"/>
        <w:rPr>
          <w:sz w:val="24"/>
          <w:szCs w:val="24"/>
        </w:rPr>
      </w:pPr>
      <w:r>
        <w:rPr>
          <w:sz w:val="24"/>
          <w:szCs w:val="24"/>
        </w:rPr>
        <w:t>развитие финансовой инфраструктуры;</w:t>
      </w:r>
    </w:p>
    <w:p>
      <w:pPr>
        <w:pStyle w:val="BodyText"/>
        <w:suppressAutoHyphens w:val="true"/>
        <w:spacing w:lineRule="auto" w:line="360" w:before="0" w:after="0"/>
        <w:ind w:firstLine="567"/>
        <w:rPr>
          <w:sz w:val="24"/>
          <w:szCs w:val="24"/>
        </w:rPr>
      </w:pPr>
      <w:r>
        <w:rPr>
          <w:sz w:val="24"/>
          <w:szCs w:val="24"/>
        </w:rPr>
        <w:t>развитие индустрии финансовых посредников и институтов коллективного инвестирования, а также регистраторов и специализированных депозитариев;</w:t>
      </w:r>
    </w:p>
    <w:p>
      <w:pPr>
        <w:pStyle w:val="BodyText"/>
        <w:suppressAutoHyphens w:val="true"/>
        <w:spacing w:lineRule="auto" w:line="360" w:before="0" w:after="0"/>
        <w:ind w:firstLine="567"/>
        <w:rPr>
          <w:sz w:val="24"/>
          <w:szCs w:val="24"/>
        </w:rPr>
      </w:pPr>
      <w:r>
        <w:rPr>
          <w:sz w:val="24"/>
          <w:szCs w:val="24"/>
        </w:rPr>
        <w:t>стимулирование внутреннего инвестиционного спроса;</w:t>
      </w:r>
    </w:p>
    <w:p>
      <w:pPr>
        <w:pStyle w:val="BodyText"/>
        <w:suppressAutoHyphens w:val="true"/>
        <w:spacing w:lineRule="auto" w:line="360" w:before="0" w:after="0"/>
        <w:ind w:firstLine="567"/>
        <w:rPr>
          <w:b/>
          <w:sz w:val="24"/>
          <w:szCs w:val="24"/>
        </w:rPr>
      </w:pPr>
      <w:r>
        <w:rPr>
          <w:sz w:val="24"/>
          <w:szCs w:val="24"/>
        </w:rPr>
        <w:t>защита интересов получателей финансовых услуг.</w:t>
      </w:r>
    </w:p>
    <w:p>
      <w:pPr>
        <w:pStyle w:val="BodyText"/>
        <w:suppressAutoHyphens w:val="true"/>
        <w:spacing w:lineRule="auto" w:line="360" w:before="0" w:after="0"/>
        <w:ind w:firstLine="567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BodyText"/>
        <w:suppressAutoHyphens w:val="true"/>
        <w:spacing w:lineRule="auto" w:line="360" w:before="0" w:after="0"/>
        <w:ind w:firstLine="567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 Участие в нормотворчестве </w:t>
      </w:r>
    </w:p>
    <w:p>
      <w:pPr>
        <w:pStyle w:val="BodyText"/>
        <w:suppressAutoHyphens w:val="true"/>
        <w:spacing w:lineRule="auto" w:line="360" w:before="0" w:after="0"/>
        <w:ind w:firstLine="567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BodyText"/>
        <w:suppressAutoHyphens w:val="true"/>
        <w:spacing w:lineRule="auto" w:line="360" w:before="0" w:after="0"/>
        <w:ind w:firstLine="567"/>
        <w:rPr>
          <w:sz w:val="24"/>
          <w:szCs w:val="24"/>
        </w:rPr>
      </w:pPr>
      <w:r>
        <w:rPr>
          <w:sz w:val="24"/>
          <w:szCs w:val="24"/>
        </w:rPr>
        <w:t>В 2026 году НАУФОР планирует вести работу по следующим темам:</w:t>
      </w:r>
    </w:p>
    <w:p>
      <w:pPr>
        <w:pStyle w:val="BodyText"/>
        <w:suppressAutoHyphens w:val="true"/>
        <w:spacing w:lineRule="auto" w:line="360" w:before="0" w:after="0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1) расширение перечня финансовых инструментов, в отношении которых может проводиться проверка знаний физических лиц для признания их квалифицированными инвесторами в комбинации с имущественными критериями, расширение перечня аттестатов, на основании которых физическое лицо может быть признано квалифицированным инвестором; </w:t>
      </w:r>
    </w:p>
    <w:p>
      <w:pPr>
        <w:pStyle w:val="BodyText"/>
        <w:suppressAutoHyphens w:val="true"/>
        <w:spacing w:lineRule="auto" w:line="360" w:before="0" w:after="0"/>
        <w:ind w:firstLine="567"/>
        <w:rPr>
          <w:sz w:val="24"/>
          <w:szCs w:val="24"/>
        </w:rPr>
      </w:pPr>
      <w:r>
        <w:rPr>
          <w:sz w:val="24"/>
          <w:szCs w:val="24"/>
        </w:rPr>
        <w:t>2) введение возможности учитывать признание лица квалифицированным инвестором, произведенное другим финансовым посредником;</w:t>
      </w:r>
    </w:p>
    <w:p>
      <w:pPr>
        <w:pStyle w:val="BodyText"/>
        <w:suppressAutoHyphens w:val="true"/>
        <w:spacing w:lineRule="auto" w:line="360" w:before="0" w:after="0"/>
        <w:ind w:firstLine="567"/>
        <w:rPr>
          <w:sz w:val="24"/>
          <w:szCs w:val="24"/>
        </w:rPr>
      </w:pPr>
      <w:r>
        <w:rPr>
          <w:sz w:val="24"/>
          <w:szCs w:val="24"/>
        </w:rPr>
        <w:t>3) расширение возможностей для инвестиций активов ПИФ;</w:t>
      </w:r>
    </w:p>
    <w:p>
      <w:pPr>
        <w:pStyle w:val="BodyText"/>
        <w:suppressAutoHyphens w:val="true"/>
        <w:spacing w:lineRule="auto" w:line="360" w:before="0" w:after="0"/>
        <w:ind w:firstLine="567"/>
        <w:rPr/>
      </w:pPr>
      <w:r>
        <w:rPr>
          <w:sz w:val="24"/>
          <w:szCs w:val="24"/>
        </w:rPr>
        <w:t>4) предоставление профессиональным участникам рынка ценных бумаг и управляющим компаниям права проведения идентификации по поручению друг друга и иных финансовых организаций;</w:t>
      </w:r>
    </w:p>
    <w:p>
      <w:pPr>
        <w:pStyle w:val="BodyText"/>
        <w:suppressAutoHyphens w:val="true"/>
        <w:spacing w:lineRule="auto" w:line="360" w:before="0" w:after="0"/>
        <w:ind w:firstLine="567"/>
        <w:rPr>
          <w:sz w:val="24"/>
          <w:szCs w:val="24"/>
        </w:rPr>
      </w:pPr>
      <w:r>
        <w:rPr>
          <w:sz w:val="24"/>
          <w:szCs w:val="24"/>
        </w:rPr>
        <w:t>5) разрешение управляющему приобретать инструменты, предназначенные для квалифицированных инвесторов, для клиентов, не являющихся квалифицированными инвесторами, при условии, что доверительное управление не предполагает передачу таких активов инвестору по окончании договора с управляющим;</w:t>
      </w:r>
    </w:p>
    <w:p>
      <w:pPr>
        <w:pStyle w:val="BodyText"/>
        <w:suppressAutoHyphens w:val="true"/>
        <w:spacing w:lineRule="auto" w:line="360" w:before="0" w:after="0"/>
        <w:ind w:firstLine="567"/>
        <w:rPr>
          <w:sz w:val="24"/>
          <w:szCs w:val="24"/>
        </w:rPr>
      </w:pPr>
      <w:r>
        <w:rPr>
          <w:sz w:val="24"/>
          <w:szCs w:val="24"/>
        </w:rPr>
        <w:t>6) упрощение инвестиционного профилирования розничных инвесторов в случаях, когда инвестиционный портфель полностью формируется за счет инструментов рынка коллективных инвестиций - открытых, интервальных и биржевых ПИФ;</w:t>
      </w:r>
    </w:p>
    <w:p>
      <w:pPr>
        <w:pStyle w:val="BodyText"/>
        <w:suppressAutoHyphens w:val="true"/>
        <w:spacing w:lineRule="auto" w:line="360" w:before="0" w:after="0"/>
        <w:ind w:firstLine="567"/>
        <w:rPr>
          <w:sz w:val="24"/>
          <w:szCs w:val="24"/>
        </w:rPr>
      </w:pPr>
      <w:r>
        <w:rPr>
          <w:sz w:val="24"/>
          <w:szCs w:val="24"/>
        </w:rPr>
        <w:t>7) упрощение процедуры выпуска эмиссионных ценных бумаг;</w:t>
      </w:r>
    </w:p>
    <w:p>
      <w:pPr>
        <w:pStyle w:val="BodyText"/>
        <w:suppressAutoHyphens w:val="true"/>
        <w:spacing w:lineRule="auto" w:line="360" w:before="0" w:after="0"/>
        <w:ind w:firstLine="567"/>
        <w:rPr>
          <w:sz w:val="24"/>
          <w:szCs w:val="24"/>
        </w:rPr>
      </w:pPr>
      <w:r>
        <w:rPr>
          <w:sz w:val="24"/>
          <w:szCs w:val="24"/>
        </w:rPr>
        <w:t>8) гармонизация регулирования выпуска и обращения цифровых активов и традиционных финансовых инструментов, в первую очередь допуск к рынку цифровых активов брокерской индустрии и управляющих компаний;</w:t>
      </w:r>
    </w:p>
    <w:p>
      <w:pPr>
        <w:pStyle w:val="BodyText"/>
        <w:suppressAutoHyphens w:val="true"/>
        <w:spacing w:lineRule="auto" w:line="360" w:before="0" w:after="0"/>
        <w:ind w:firstLine="567"/>
        <w:rPr/>
      </w:pPr>
      <w:r>
        <w:rPr>
          <w:sz w:val="24"/>
          <w:szCs w:val="24"/>
        </w:rPr>
        <w:t>9) расширение доступа к финансовым инструментам дружественных стран;</w:t>
      </w:r>
    </w:p>
    <w:p>
      <w:pPr>
        <w:pStyle w:val="BodyText"/>
        <w:suppressAutoHyphens w:val="true"/>
        <w:spacing w:lineRule="auto" w:line="360" w:before="0" w:after="0"/>
        <w:ind w:firstLine="567"/>
        <w:rPr/>
      </w:pPr>
      <w:r>
        <w:rPr>
          <w:sz w:val="24"/>
          <w:szCs w:val="24"/>
        </w:rPr>
        <w:t>10) совершенствование регулирования индивидуальных инвестиционных счетов;</w:t>
      </w:r>
    </w:p>
    <w:p>
      <w:pPr>
        <w:pStyle w:val="BodyText"/>
        <w:suppressAutoHyphens w:val="true"/>
        <w:spacing w:lineRule="auto" w:line="360" w:before="0" w:after="0"/>
        <w:ind w:firstLine="567"/>
        <w:rPr/>
      </w:pPr>
      <w:r>
        <w:rPr>
          <w:sz w:val="24"/>
          <w:szCs w:val="24"/>
        </w:rPr>
        <w:t>11) внедрение «механизма быстрых переводов ценных бумаг»;</w:t>
      </w:r>
    </w:p>
    <w:p>
      <w:pPr>
        <w:pStyle w:val="BodyText"/>
        <w:suppressAutoHyphens w:val="true"/>
        <w:spacing w:lineRule="auto" w:line="360" w:before="0" w:after="0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12) введение возможности выдачи инвестиционных паев в режиме </w:t>
      </w:r>
      <w:r>
        <w:rPr>
          <w:sz w:val="24"/>
          <w:szCs w:val="24"/>
          <w:lang w:val="en-US"/>
        </w:rPr>
        <w:t>T</w:t>
      </w:r>
      <w:r>
        <w:rPr>
          <w:sz w:val="24"/>
          <w:szCs w:val="24"/>
        </w:rPr>
        <w:t>+0;</w:t>
      </w:r>
    </w:p>
    <w:p>
      <w:pPr>
        <w:pStyle w:val="BodyText"/>
        <w:suppressAutoHyphens w:val="true"/>
        <w:spacing w:lineRule="auto" w:line="360" w:before="0" w:after="0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13) распространение налоговой льготы по долгосрочному владению (5 лет) </w:t>
        <w:br/>
        <w:t>на инвестиционные паи;</w:t>
      </w:r>
    </w:p>
    <w:p>
      <w:pPr>
        <w:pStyle w:val="BodyText"/>
        <w:suppressAutoHyphens w:val="true"/>
        <w:spacing w:lineRule="auto" w:line="360" w:before="0" w:after="0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14) передача функций налогового агента от управляющих компаний брокерам, депозитариям и управляющим при приобретении паев через финансовых посредников, </w:t>
        <w:br/>
        <w:t>а также при осуществлении выплат «каскадным» способом;</w:t>
      </w:r>
    </w:p>
    <w:p>
      <w:pPr>
        <w:pStyle w:val="BodyText"/>
        <w:suppressAutoHyphens w:val="true"/>
        <w:spacing w:lineRule="auto" w:line="360" w:before="0" w:after="0"/>
        <w:ind w:firstLine="567"/>
        <w:rPr>
          <w:sz w:val="24"/>
          <w:szCs w:val="24"/>
        </w:rPr>
      </w:pPr>
      <w:r>
        <w:rPr>
          <w:sz w:val="24"/>
          <w:szCs w:val="24"/>
        </w:rPr>
        <w:t>15) совершенствование налогообложения операций с ЦФА;</w:t>
      </w:r>
    </w:p>
    <w:p>
      <w:pPr>
        <w:pStyle w:val="BodyText"/>
        <w:suppressAutoHyphens w:val="true"/>
        <w:spacing w:lineRule="auto" w:line="360" w:before="0" w:after="0"/>
        <w:ind w:firstLine="567"/>
        <w:rPr>
          <w:sz w:val="24"/>
          <w:szCs w:val="24"/>
        </w:rPr>
      </w:pPr>
      <w:r>
        <w:rPr>
          <w:sz w:val="24"/>
          <w:szCs w:val="24"/>
        </w:rPr>
        <w:t>16) освобождение от НДС услуг специализированного депозитария по исполнению функций, переданных ему управляющей компанией;</w:t>
      </w:r>
    </w:p>
    <w:p>
      <w:pPr>
        <w:pStyle w:val="BodyText"/>
        <w:suppressAutoHyphens w:val="true"/>
        <w:spacing w:lineRule="auto" w:line="360" w:before="0" w:after="0"/>
        <w:ind w:firstLine="567"/>
        <w:rPr/>
      </w:pPr>
      <w:r>
        <w:rPr>
          <w:sz w:val="24"/>
          <w:szCs w:val="24"/>
        </w:rPr>
        <w:t>17) освобождение от НДС услуг страховых организаций, оказываемых в качестве агентов по выдаче, погашению и обмену инвестиционных паев.</w:t>
      </w:r>
    </w:p>
    <w:p>
      <w:pPr>
        <w:pStyle w:val="BodyText"/>
        <w:suppressAutoHyphens w:val="true"/>
        <w:spacing w:lineRule="auto" w:line="360" w:before="0" w:after="0"/>
        <w:ind w:firstLine="567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BodyText"/>
        <w:suppressAutoHyphens w:val="true"/>
        <w:spacing w:lineRule="auto" w:line="360" w:before="0" w:after="0"/>
        <w:ind w:firstLine="567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BodyText"/>
        <w:suppressAutoHyphens w:val="true"/>
        <w:spacing w:lineRule="auto" w:line="360" w:before="0" w:after="0"/>
        <w:ind w:firstLine="567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BodyText"/>
        <w:suppressAutoHyphens w:val="true"/>
        <w:spacing w:lineRule="auto" w:line="360" w:before="0" w:after="0"/>
        <w:ind w:firstLine="567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uppressAutoHyphens w:val="true"/>
        <w:spacing w:lineRule="auto" w:line="360" w:before="0" w:after="0"/>
        <w:ind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2. Стандартизация деятельности членов НАУФОР</w:t>
      </w:r>
    </w:p>
    <w:p>
      <w:pPr>
        <w:pStyle w:val="Normal"/>
        <w:suppressAutoHyphens w:val="true"/>
        <w:spacing w:lineRule="auto" w:line="360" w:before="0"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uppressAutoHyphens w:val="true"/>
        <w:spacing w:lineRule="auto" w:line="360" w:before="0"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2026 году НАУФОР будет принимать участие в работе созданных при Банке России комитетов по базовым стандартам. Предполагается, что в этом году эти комитеты будут вести работу над следующими изменениями в базовые стандарты:</w:t>
      </w:r>
    </w:p>
    <w:p>
      <w:pPr>
        <w:pStyle w:val="Normal"/>
        <w:suppressAutoHyphens w:val="true"/>
        <w:spacing w:lineRule="auto" w:line="360" w:before="0"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установление порядка передачи информации о расходах физических лиц </w:t>
        <w:br/>
        <w:t>на приобретение и хранение ценных бумаг для целей налогообложения при переходе их на обслуживание к другому финансовому посреднику;</w:t>
      </w:r>
    </w:p>
    <w:p>
      <w:pPr>
        <w:pStyle w:val="Normal"/>
        <w:suppressAutoHyphens w:val="true"/>
        <w:spacing w:lineRule="auto" w:line="360" w:before="0"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установление порядка проведения проверки знаний физических лиц для признания их квалифицированными инвесторами в комбинации с имущественными критериями;</w:t>
      </w:r>
    </w:p>
    <w:p>
      <w:pPr>
        <w:pStyle w:val="Normal"/>
        <w:suppressAutoHyphens w:val="true"/>
        <w:spacing w:lineRule="auto" w:line="360" w:before="0"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уточнение порядка проведения тестирования неквалифицированных инвесторов </w:t>
        <w:br/>
        <w:t>(в части случайного выбора вопросов тестирования);</w:t>
      </w:r>
    </w:p>
    <w:p>
      <w:pPr>
        <w:pStyle w:val="Normal"/>
        <w:suppressAutoHyphens w:val="true"/>
        <w:spacing w:lineRule="auto" w:line="360" w:before="0"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уточнение порядка совершения депозитарных операций в связи с отказом </w:t>
        <w:br/>
        <w:t>от необходимости встречного поручения, введением регулирования цифровой валюты и цифровых прав;</w:t>
      </w:r>
    </w:p>
    <w:p>
      <w:pPr>
        <w:pStyle w:val="Normal"/>
        <w:suppressAutoHyphens w:val="true"/>
        <w:spacing w:lineRule="auto" w:line="360" w:before="0"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уточнение порядка предоставления инвесторам ключевой информации о договорах, а также другой обязательной информации;</w:t>
      </w:r>
    </w:p>
    <w:p>
      <w:pPr>
        <w:pStyle w:val="Normal"/>
        <w:suppressAutoHyphens w:val="true"/>
        <w:spacing w:lineRule="auto" w:line="360" w:before="0"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приведение установленного порядка работы с жалобами и обращениями </w:t>
        <w:br/>
        <w:t>в соответствие с изменениями в законодательство;</w:t>
      </w:r>
    </w:p>
    <w:p>
      <w:pPr>
        <w:pStyle w:val="Normal"/>
        <w:suppressAutoHyphens w:val="true"/>
        <w:spacing w:lineRule="auto" w:line="360" w:before="0"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синхронизация подходов к инвестиционному профилированию для инвестиционных советников и управляющих. </w:t>
      </w:r>
    </w:p>
    <w:p>
      <w:pPr>
        <w:pStyle w:val="Normal"/>
        <w:suppressAutoHyphens w:val="true"/>
        <w:spacing w:lineRule="auto" w:line="360" w:before="0"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рамках совершенствования внутренних стандартов НАУФОР планирует:</w:t>
      </w:r>
    </w:p>
    <w:p>
      <w:pPr>
        <w:pStyle w:val="Normal"/>
        <w:suppressAutoHyphens w:val="true"/>
        <w:spacing w:lineRule="auto" w:line="360" w:before="0"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разработку внутреннего стандарта предоставления услуг при онлайн-обслуживании;</w:t>
      </w:r>
    </w:p>
    <w:p>
      <w:pPr>
        <w:pStyle w:val="Normal"/>
        <w:suppressAutoHyphens w:val="true"/>
        <w:spacing w:lineRule="auto" w:line="360" w:before="0"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разработку внутреннего стандарта</w:t>
      </w:r>
      <w:bookmarkStart w:id="0" w:name="_GoBack"/>
      <w:bookmarkEnd w:id="0"/>
      <w:r>
        <w:rPr>
          <w:rFonts w:cs="Times New Roman" w:ascii="Times New Roman" w:hAnsi="Times New Roman"/>
          <w:sz w:val="24"/>
          <w:szCs w:val="24"/>
        </w:rPr>
        <w:t xml:space="preserve">, устанавливающего перечень вопросов в целях проверки знаний физических лиц для признания их квалифицированными инвесторами </w:t>
        <w:br/>
        <w:t>в комбинации с имущественными критериями;</w:t>
      </w:r>
    </w:p>
    <w:p>
      <w:pPr>
        <w:pStyle w:val="Normal"/>
        <w:suppressAutoHyphens w:val="true"/>
        <w:spacing w:lineRule="auto" w:line="360" w:before="0"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разработку внутреннего стандарта, устанавливающего форму и формат сообщений </w:t>
        <w:br/>
        <w:t>о расходах физических лиц на приобретение и хранение ценных бумаг для целей налогообложения при переходе их на обслуживание к другому финансовому посреднику,</w:t>
      </w:r>
    </w:p>
    <w:p>
      <w:pPr>
        <w:pStyle w:val="Normal"/>
        <w:suppressAutoHyphens w:val="true"/>
        <w:spacing w:lineRule="auto" w:line="360" w:before="0"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разработку внутреннего стандарта по определению связанности юридических лиц </w:t>
        <w:br/>
        <w:t>в связи с планируемыми изменениями в Указание Банка России от 05.09.2026 № 4129-У по распространению лимита концентрации на группу связанных лиц</w:t>
      </w:r>
    </w:p>
    <w:p>
      <w:pPr>
        <w:pStyle w:val="Normal"/>
        <w:suppressAutoHyphens w:val="true"/>
        <w:spacing w:lineRule="auto" w:line="360" w:before="0"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разработку изменений во внутренний стандарт «Требования к предоставлению услуг инвестиционного консультирования посредством программ автоследования» </w:t>
        <w:br/>
        <w:t>в соответствии с контрольной практикой НАУФОР;</w:t>
      </w:r>
    </w:p>
    <w:p>
      <w:pPr>
        <w:pStyle w:val="Normal"/>
        <w:suppressAutoHyphens w:val="true"/>
        <w:spacing w:lineRule="auto" w:line="360" w:before="0"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разработку изменений во внутренние стандарты по вопросам предоставления инвесторам ключевой информации о договорах, деклараций о рисках и другой обязательной информации в корреспонденции с предполагаемыми изменениями в базовые стандарты; </w:t>
      </w:r>
    </w:p>
    <w:p>
      <w:pPr>
        <w:pStyle w:val="Normal"/>
        <w:suppressAutoHyphens w:val="true"/>
        <w:spacing w:lineRule="auto" w:line="360" w:before="0"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разработку изменений во внутренний стандарт порядка определения стоимости чистых активов паевого инвестиционного фонда и стоимости инвестиционного пая </w:t>
        <w:br/>
        <w:t>в части учета и оценки вспомогательного имущества, увеличения срока признания операционной дебиторской задолженности по облигациям иностранных эмитентов, оценки кредитного риска индивидуального предпринимателя, порядка отражения вариационной маржи по биржевым ПФИ.</w:t>
      </w:r>
    </w:p>
    <w:p>
      <w:pPr>
        <w:pStyle w:val="Normal"/>
        <w:suppressAutoHyphens w:val="true"/>
        <w:spacing w:lineRule="auto" w:line="360" w:before="0" w:after="0"/>
        <w:ind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uppressAutoHyphens w:val="true"/>
        <w:spacing w:lineRule="auto" w:line="360" w:before="0" w:after="0"/>
        <w:ind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3. Осуществление контроля за деятельностью членов НАУФОР</w:t>
      </w:r>
    </w:p>
    <w:p>
      <w:pPr>
        <w:pStyle w:val="Normal"/>
        <w:suppressAutoHyphens w:val="true"/>
        <w:spacing w:lineRule="auto" w:line="360" w:before="0"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uppressAutoHyphens w:val="true"/>
        <w:spacing w:lineRule="auto" w:line="360" w:before="0"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НАУФОР развивает и совершенствует процедуры контроля за своими членами как одно их приоритетных направлений своей работы. Ассоциация проводит плановые проверки деятельности каждого своего члена не реже одного раза в пять лет. Список членов НАУФОР, которые включены в график плановых проверок на предстоящий год</w:t>
      </w:r>
      <w:r>
        <w:rPr>
          <w:rStyle w:val="FootnoteReference"/>
          <w:rFonts w:cs="Times New Roman" w:ascii="Times New Roman" w:hAnsi="Times New Roman"/>
          <w:sz w:val="24"/>
          <w:szCs w:val="24"/>
        </w:rPr>
        <w:footnoteReference w:id="2"/>
      </w:r>
      <w:r>
        <w:rPr>
          <w:rFonts w:cs="Times New Roman" w:ascii="Times New Roman" w:hAnsi="Times New Roman"/>
          <w:sz w:val="24"/>
          <w:szCs w:val="24"/>
        </w:rPr>
        <w:t>, публикуются заранее, чтобы компании могли подготовиться к проверке. Внеплановые поверки проводятся по жалобам клиентов финансовых организаций или письмам Банка России, а также по инициативе НАУФОР, в том числе, в формате «контрольной закупки». При принятии решения о проведении внеплановой проверки НАУФОР учитывает системную или социальную значимость организации, число клиентов, количество жалоб (риск-ориентированный подход).</w:t>
      </w:r>
    </w:p>
    <w:p>
      <w:pPr>
        <w:pStyle w:val="Normal"/>
        <w:suppressAutoHyphens w:val="true"/>
        <w:spacing w:lineRule="auto" w:line="360" w:before="0"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НАУФОР будет проводить в 2026 году плановые проверки в областях контроля, согласованных с Банком России, а также на основании жалоб клиентов, поручений Банка России и другой информации, свидетельствующей о возможном нарушении прав и интересов инвесторов. Приоритетные области контроля опубликованы на сайте НАУФОР</w:t>
      </w:r>
      <w:r>
        <w:rPr>
          <w:rStyle w:val="FootnoteReference"/>
          <w:rFonts w:cs="Times New Roman" w:ascii="Times New Roman" w:hAnsi="Times New Roman"/>
          <w:sz w:val="24"/>
          <w:szCs w:val="24"/>
        </w:rPr>
        <w:footnoteReference w:id="3"/>
      </w:r>
      <w:r>
        <w:rPr>
          <w:rFonts w:cs="Times New Roman" w:ascii="Times New Roman" w:hAnsi="Times New Roman"/>
          <w:sz w:val="24"/>
          <w:szCs w:val="24"/>
        </w:rPr>
        <w:t xml:space="preserve">. В 2026 году к ним добавятся требования базового стандарта совершения специализированным депозитарием операций на финансовом рынке, правила предоставления информации получателям финансовых услуг, управление разработкой и предложением финансовых инструментов, требования внутренних стандартов НАУФОР </w:t>
        <w:br/>
        <w:t>о предоставлении ключевой информации о договоре о брокерском обслуживании и деклараций о рисках, разумность и добросовестность при осуществлении управляющим оценки активов под управлением.</w:t>
      </w:r>
    </w:p>
    <w:p>
      <w:pPr>
        <w:pStyle w:val="Normal"/>
        <w:suppressAutoHyphens w:val="true"/>
        <w:spacing w:lineRule="auto" w:line="360" w:before="0" w:after="0"/>
        <w:ind w:firstLine="567"/>
        <w:rPr/>
      </w:pPr>
      <w:r>
        <w:rPr>
          <w:rFonts w:cs="Times New Roman" w:ascii="Times New Roman" w:hAnsi="Times New Roman"/>
          <w:sz w:val="24"/>
          <w:szCs w:val="24"/>
        </w:rPr>
        <w:t>НАУФОР планирует оптимизировать контрольные процедуры с тем, чтобы сделать проверки лучше отвечающими профилю деятельности каждой организации. Также изучается возможность применения в контрольной практике механизмов машинного обучения (RAG</w:t>
      </w:r>
      <w:r>
        <w:rPr>
          <w:rStyle w:val="FootnoteReference"/>
          <w:rFonts w:cs="Times New Roman" w:ascii="Times New Roman" w:hAnsi="Times New Roman"/>
          <w:sz w:val="24"/>
          <w:szCs w:val="24"/>
        </w:rPr>
        <w:footnoteReference w:id="4"/>
      </w:r>
      <w:r>
        <w:rPr>
          <w:rFonts w:cs="Times New Roman" w:ascii="Times New Roman" w:hAnsi="Times New Roman"/>
          <w:sz w:val="24"/>
          <w:szCs w:val="24"/>
        </w:rPr>
        <w:t xml:space="preserve"> - </w:t>
      </w:r>
      <w:bookmarkStart w:id="1" w:name="_GoBack_Копия_1"/>
      <w:bookmarkEnd w:id="1"/>
      <w:r>
        <w:rPr>
          <w:rFonts w:cs="Times New Roman" w:ascii="Times New Roman" w:hAnsi="Times New Roman"/>
          <w:sz w:val="24"/>
          <w:szCs w:val="24"/>
        </w:rPr>
        <w:t xml:space="preserve">сопоставление извлеченных данных с базой стандартов и методик проверок для формирования отчета о несоответствиях с указанием фрагментов исходных документов), в результате которой ожидается сокращение времени и ресурсов проверок, повышения качества проверок за счет дополнительного анализа. </w:t>
      </w:r>
    </w:p>
    <w:p>
      <w:pPr>
        <w:pStyle w:val="Normal"/>
        <w:suppressAutoHyphens w:val="true"/>
        <w:spacing w:lineRule="auto" w:line="360" w:before="0"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2026 году НАУФОР намерена продолжить публиковать обзоры контрольной практики, содержащие описание нарушений, выявленных в результате проверок соблюдения требований базовых и внутренних стандартов, а также обзоры решений Дисциплинарного комитета НАУФОР по наиболее типичным категориям дел.</w:t>
      </w:r>
    </w:p>
    <w:p>
      <w:pPr>
        <w:pStyle w:val="Normal"/>
        <w:suppressAutoHyphens w:val="true"/>
        <w:spacing w:lineRule="auto" w:line="360" w:before="0"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uppressAutoHyphens w:val="true"/>
        <w:spacing w:lineRule="auto" w:line="360" w:before="0" w:after="0"/>
        <w:ind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4. Обучение и оценка квалификации специалистов финансового рынка</w:t>
      </w:r>
    </w:p>
    <w:p>
      <w:pPr>
        <w:pStyle w:val="Normal"/>
        <w:suppressAutoHyphens w:val="true"/>
        <w:spacing w:lineRule="auto" w:line="360" w:before="0" w:after="0"/>
        <w:ind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uppressAutoHyphens w:val="true"/>
        <w:spacing w:lineRule="auto" w:line="360" w:before="0"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В качестве Центра оценки квалификации НАУФОР в 2026 году продолжит оценку квалификации специалистов финансового рынка. При этом, во взаимодействии </w:t>
        <w:br/>
        <w:t>с Консалтинговым центром НАУФОР она будет продолжать обучающие мероприятия для специалистов профессиональных участников рынка ценных бумаг и управляющих компаний инвестиционных фондов, паевых инвестиционных фондов и негосударственных пенсионных фондов, специализированных депозитариев, регистраторов.</w:t>
      </w:r>
    </w:p>
    <w:p>
      <w:pPr>
        <w:pStyle w:val="Normal"/>
        <w:suppressAutoHyphens w:val="true"/>
        <w:spacing w:lineRule="auto" w:line="360" w:before="0"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НАУФОР продолжит в 2026 году программу обучения и аттестации специалистов </w:t>
        <w:br/>
        <w:t xml:space="preserve">по инвестиционному консультированию с получением удостоверения о повышении квалификации и аттестата НАУФОР, а также для внутренних контролеров профессиональных участников рынка ценных бумаг по программе «Организация деятельности службы внутреннего контроля. Базовые и внутренние стандарты НАУФОР, контроль за их соблюдением». Также НАУФОР продолжит обучение и аттестацию </w:t>
        <w:br/>
        <w:t>по запущенной в 2026 году программе повышения квалификации специалистов в области системы управления рисками на финансовом рынке, а также впервые проведет курс обучения по программе повышения квалификации «Специалист по информационной (кибер) безопасности в кредитно-финансовой сфере».</w:t>
      </w:r>
    </w:p>
    <w:p>
      <w:pPr>
        <w:pStyle w:val="Normal"/>
        <w:suppressAutoHyphens w:val="true"/>
        <w:spacing w:lineRule="auto" w:line="360" w:before="0"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/>
      </w:r>
    </w:p>
    <w:p>
      <w:pPr>
        <w:pStyle w:val="Normal"/>
        <w:suppressAutoHyphens w:val="true"/>
        <w:spacing w:lineRule="auto" w:line="360" w:before="0"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5. Аккредитация программ автоконсультирования и автоследования </w:t>
      </w:r>
    </w:p>
    <w:p>
      <w:pPr>
        <w:pStyle w:val="Normal"/>
        <w:suppressAutoHyphens w:val="true"/>
        <w:spacing w:lineRule="auto" w:line="360" w:before="0"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uppressAutoHyphens w:val="true"/>
        <w:spacing w:lineRule="auto" w:line="360" w:before="0"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2026 году НАУФОР будет продолжать осуществлять аккредитацию новых программ автоследования и автоконсультирования, а также проводить проверки соответствия аккредитованных программ установленным требованиям.</w:t>
      </w:r>
    </w:p>
    <w:p>
      <w:pPr>
        <w:pStyle w:val="Normal"/>
        <w:suppressAutoHyphens w:val="true"/>
        <w:spacing w:lineRule="auto" w:line="360" w:before="0"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uppressAutoHyphens w:val="true"/>
        <w:spacing w:lineRule="auto" w:line="360" w:before="0" w:after="0"/>
        <w:ind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6. Проведение публичных и информационных мероприятий</w:t>
      </w:r>
    </w:p>
    <w:p>
      <w:pPr>
        <w:pStyle w:val="Normal"/>
        <w:suppressAutoHyphens w:val="true"/>
        <w:spacing w:lineRule="auto" w:line="360" w:before="0"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uppressAutoHyphens w:val="true"/>
        <w:spacing w:lineRule="auto" w:line="360" w:before="0"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НАУФОР продолжит проводить публичные и информационные мероприятия, способствующие развитию финансового рынка. Ключевые мероприятия – ежегодная конференция НАУФОР «Российский фондовый рынок» по наиболее актуальным вопросам национального фондового рынка – в Москве, а Уральская конференция – </w:t>
        <w:br/>
        <w:t>в Екатеринбурге. Также летом состоится традиционная конференция НАУФОР «Рынок коллективных инвестиций» в Санкт-Петербурге. В конце года планируется провести ежегодную конференцию, посвященную вопросам информационной безопасности для некредитных финансовых организаций.</w:t>
      </w:r>
    </w:p>
    <w:p>
      <w:pPr>
        <w:pStyle w:val="Normal"/>
        <w:suppressAutoHyphens w:val="true"/>
        <w:spacing w:lineRule="auto" w:line="360" w:before="0"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В 2026 году будет проведен ежегодный Национальный конкурс «Элита фондового рынка». </w:t>
      </w:r>
    </w:p>
    <w:p>
      <w:pPr>
        <w:pStyle w:val="Normal"/>
        <w:suppressAutoHyphens w:val="true"/>
        <w:spacing w:lineRule="auto" w:line="360" w:before="0"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uppressAutoHyphens w:val="true"/>
        <w:spacing w:lineRule="auto" w:line="360" w:before="0"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uppressAutoHyphens w:val="true"/>
        <w:spacing w:lineRule="auto" w:line="360" w:before="0"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uppressAutoHyphens w:val="true"/>
        <w:spacing w:lineRule="auto" w:line="36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Президент</w:t>
        <w:tab/>
        <w:tab/>
        <w:tab/>
        <w:tab/>
        <w:tab/>
        <w:tab/>
        <w:tab/>
        <w:tab/>
        <w:tab/>
        <w:tab/>
        <w:t>А.В. Тимофеев</w:t>
      </w:r>
    </w:p>
    <w:p>
      <w:pPr>
        <w:pStyle w:val="Normal"/>
        <w:spacing w:before="0" w:after="20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sectPr>
      <w:headerReference w:type="even" r:id="rId4"/>
      <w:headerReference w:type="default" r:id="rId5"/>
      <w:headerReference w:type="first" r:id="rId6"/>
      <w:footerReference w:type="even" r:id="rId7"/>
      <w:footerReference w:type="default" r:id="rId8"/>
      <w:footerReference w:type="first" r:id="rId9"/>
      <w:footnotePr>
        <w:numFmt w:val="decimal"/>
      </w:footnotePr>
      <w:type w:val="nextPage"/>
      <w:pgSz w:w="11906" w:h="16838"/>
      <w:pgMar w:left="1418" w:right="1133" w:gutter="0" w:header="57" w:top="1134" w:footer="624" w:bottom="720"/>
      <w:pgNumType w:fmt="decimal"/>
      <w:formProt w:val="false"/>
      <w:titlePg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Calibri">
    <w:charset w:val="cc" w:characterSet="windows-1251"/>
    <w:family w:val="roman"/>
    <w:pitch w:val="variable"/>
  </w:font>
  <w:font w:name="Tahoma">
    <w:charset w:val="cc" w:characterSet="windows-1251"/>
    <w:family w:val="swiss"/>
    <w:pitch w:val="variable"/>
  </w:font>
  <w:font w:name="Times New Roman"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-186216594"/>
    </w:sdtPr>
    <w:sdtContent>
      <w:p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cs="Times New Roman" w:ascii="Times New Roman" w:hAnsi="Times New Roman"/>
            <w:sz w:val="24"/>
            <w:szCs w:val="24"/>
          </w:rPr>
          <w:fldChar w:fldCharType="begin"/>
        </w:r>
        <w:r>
          <w:rPr>
            <w:sz w:val="24"/>
            <w:szCs w:val="24"/>
            <w:rFonts w:cs="Times New Roman" w:ascii="Times New Roman" w:hAnsi="Times New Roman"/>
          </w:rPr>
          <w:instrText xml:space="preserve"> PAGE </w:instrText>
        </w:r>
        <w:r>
          <w:rPr>
            <w:sz w:val="24"/>
            <w:szCs w:val="24"/>
            <w:rFonts w:cs="Times New Roman" w:ascii="Times New Roman" w:hAnsi="Times New Roman"/>
          </w:rPr>
          <w:fldChar w:fldCharType="separate"/>
        </w:r>
        <w:r>
          <w:rPr>
            <w:sz w:val="24"/>
            <w:szCs w:val="24"/>
            <w:rFonts w:cs="Times New Roman" w:ascii="Times New Roman" w:hAnsi="Times New Roman"/>
          </w:rPr>
          <w:t>6</w:t>
        </w:r>
        <w:r>
          <w:rPr>
            <w:sz w:val="24"/>
            <w:szCs w:val="24"/>
            <w:rFonts w:cs="Times New Roman" w:ascii="Times New Roman" w:hAnsi="Times New Roman"/>
          </w:rPr>
          <w:fldChar w:fldCharType="end"/>
        </w:r>
      </w:p>
    </w:sdtContent>
  </w:sdt>
  <w:p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cs="Times New Roman" w:ascii="Times New Roman" w:hAnsi="Times New Roman"/>
        <w:sz w:val="24"/>
        <w:szCs w:val="24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</w:r>
  </w:p>
  <w:p>
    <w:pPr>
      <w:pStyle w:val="Footer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Text"/>
        <w:rPr>
          <w:rFonts w:ascii="Times New Roman" w:hAnsi="Times New Roman" w:cs="Times New Roman"/>
        </w:rPr>
      </w:pPr>
      <w:r>
        <w:rPr>
          <w:rStyle w:val="Style18"/>
        </w:rPr>
        <w:footnoteRef/>
      </w:r>
      <w:r>
        <w:rPr>
          <w:rFonts w:cs="Times New Roman" w:ascii="Times New Roman" w:hAnsi="Times New Roman"/>
        </w:rPr>
        <w:t xml:space="preserve"> </w:t>
      </w:r>
      <w:hyperlink r:id="rId1">
        <w:r>
          <w:rPr>
            <w:rStyle w:val="Hyperlink"/>
            <w:rFonts w:cs="Times New Roman" w:ascii="Times New Roman" w:hAnsi="Times New Roman"/>
          </w:rPr>
          <w:t>http://naufor.ru/tree.asp?n=31281</w:t>
        </w:r>
      </w:hyperlink>
      <w:r>
        <w:rPr>
          <w:rFonts w:cs="Times New Roman" w:ascii="Times New Roman" w:hAnsi="Times New Roman"/>
        </w:rPr>
        <w:t xml:space="preserve"> </w:t>
      </w:r>
    </w:p>
  </w:footnote>
  <w:footnote w:id="3">
    <w:p>
      <w:pPr>
        <w:pStyle w:val="FootnoteText"/>
        <w:rPr>
          <w:rFonts w:ascii="Times New Roman" w:hAnsi="Times New Roman" w:cs="Times New Roman"/>
        </w:rPr>
      </w:pPr>
      <w:r>
        <w:rPr>
          <w:rStyle w:val="Style18"/>
        </w:rPr>
        <w:footnoteRef/>
      </w:r>
      <w:r>
        <w:rPr>
          <w:rFonts w:cs="Times New Roman" w:ascii="Times New Roman" w:hAnsi="Times New Roman"/>
        </w:rPr>
        <w:t xml:space="preserve"> </w:t>
      </w:r>
      <w:hyperlink r:id="rId2">
        <w:r>
          <w:rPr>
            <w:rStyle w:val="Hyperlink"/>
            <w:rFonts w:cs="Times New Roman" w:ascii="Times New Roman" w:hAnsi="Times New Roman"/>
          </w:rPr>
          <w:t>http://naufor.ru/tree.asp?n=31376</w:t>
        </w:r>
      </w:hyperlink>
      <w:r>
        <w:rPr>
          <w:rFonts w:cs="Times New Roman" w:ascii="Times New Roman" w:hAnsi="Times New Roman"/>
        </w:rPr>
        <w:t xml:space="preserve"> </w:t>
      </w:r>
    </w:p>
  </w:footnote>
  <w:footnote w:id="4">
    <w:p>
      <w:pPr>
        <w:pStyle w:val="FootnoteText"/>
        <w:rPr>
          <w:rFonts w:ascii="Times New Roman" w:hAnsi="Times New Roman"/>
        </w:rPr>
      </w:pPr>
      <w:r>
        <w:rPr>
          <w:rStyle w:val="Style18"/>
        </w:rPr>
        <w:footnoteRef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RAG (Retrieval</w:t>
      </w:r>
      <w:r>
        <w:rPr>
          <w:rFonts w:cs="Cambria Math" w:ascii="Times New Roman" w:hAnsi="Times New Roman"/>
        </w:rPr>
        <w:noBreakHyphen/>
      </w:r>
      <w:r>
        <w:rPr>
          <w:rFonts w:ascii="Times New Roman" w:hAnsi="Times New Roman"/>
        </w:rPr>
        <w:t xml:space="preserve">Augmented Generation, </w:t>
      </w:r>
      <w:r>
        <w:rPr>
          <w:rFonts w:cs="Calibri" w:ascii="Times New Roman" w:hAnsi="Times New Roman"/>
        </w:rPr>
        <w:t>генерация</w:t>
      </w:r>
      <w:r>
        <w:rPr>
          <w:rFonts w:ascii="Times New Roman" w:hAnsi="Times New Roman"/>
        </w:rPr>
        <w:t xml:space="preserve"> </w:t>
      </w:r>
      <w:r>
        <w:rPr>
          <w:rFonts w:cs="Calibri" w:ascii="Times New Roman" w:hAnsi="Times New Roman"/>
        </w:rPr>
        <w:t>с</w:t>
      </w:r>
      <w:r>
        <w:rPr>
          <w:rFonts w:ascii="Times New Roman" w:hAnsi="Times New Roman"/>
        </w:rPr>
        <w:t xml:space="preserve"> </w:t>
      </w:r>
      <w:r>
        <w:rPr>
          <w:rFonts w:cs="Calibri" w:ascii="Times New Roman" w:hAnsi="Times New Roman"/>
        </w:rPr>
        <w:t>дополненной</w:t>
      </w:r>
      <w:r>
        <w:rPr>
          <w:rFonts w:ascii="Times New Roman" w:hAnsi="Times New Roman"/>
        </w:rPr>
        <w:t xml:space="preserve"> </w:t>
      </w:r>
      <w:r>
        <w:rPr>
          <w:rFonts w:cs="Calibri" w:ascii="Times New Roman" w:hAnsi="Times New Roman"/>
        </w:rPr>
        <w:t>выборкой</w:t>
      </w:r>
      <w:r>
        <w:rPr>
          <w:rFonts w:ascii="Times New Roman" w:hAnsi="Times New Roman"/>
        </w:rPr>
        <w:t xml:space="preserve">) </w:t>
      </w:r>
      <w:r>
        <w:rPr>
          <w:rFonts w:cs="Calibri" w:ascii="Times New Roman" w:hAnsi="Times New Roman"/>
        </w:rPr>
        <w:t>—</w:t>
      </w:r>
      <w:r>
        <w:rPr>
          <w:rFonts w:ascii="Times New Roman" w:hAnsi="Times New Roman"/>
        </w:rPr>
        <w:t xml:space="preserve"> </w:t>
      </w:r>
      <w:r>
        <w:rPr>
          <w:rFonts w:cs="Calibri" w:ascii="Times New Roman" w:hAnsi="Times New Roman"/>
        </w:rPr>
        <w:t>технология</w:t>
      </w:r>
      <w:r>
        <w:rPr>
          <w:rFonts w:ascii="Times New Roman" w:hAnsi="Times New Roman"/>
        </w:rPr>
        <w:t xml:space="preserve">, </w:t>
      </w:r>
      <w:r>
        <w:rPr>
          <w:rFonts w:cs="Calibri" w:ascii="Times New Roman" w:hAnsi="Times New Roman"/>
        </w:rPr>
        <w:t>об</w:t>
      </w:r>
      <w:r>
        <w:rPr>
          <w:rFonts w:ascii="Times New Roman" w:hAnsi="Times New Roman"/>
        </w:rPr>
        <w:t>ъединяющая поиск информации из внешних источников и генерацию текста. Она позволяет языковым моделям (LLM) давать более точные и актуальные ответы за счет подключения к базам знаний в реальном времени.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  <w:color w:themeColor="text2" w:themeTint="33" w:val="C6D9F1"/>
        <w:sz w:val="32"/>
        <w:lang w:val="en-US"/>
      </w:rPr>
    </w:pPr>
    <w:r>
      <w:rPr>
        <w:b/>
        <w:color w:themeColor="text2" w:themeTint="33" w:val="C6D9F1"/>
        <w:sz w:val="32"/>
        <w:lang w:val="en-US"/>
      </w:rPr>
    </w:r>
  </w:p>
  <w:p>
    <w:pPr>
      <w:pStyle w:val="Header"/>
      <w:jc w:val="center"/>
      <w:rPr>
        <w:b/>
        <w:lang w:val="en-US"/>
      </w:rPr>
    </w:pPr>
    <w:r>
      <w:rPr>
        <w:b/>
        <w:lang w:val="en-US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57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e37637"/>
    <w:pPr>
      <w:widowControl/>
      <w:suppressAutoHyphens w:val="false"/>
      <w:bidi w:val="0"/>
      <w:spacing w:lineRule="auto" w:line="276" w:before="0" w:after="20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uiPriority w:val="99"/>
    <w:qFormat/>
    <w:rsid w:val="00763881"/>
    <w:rPr/>
  </w:style>
  <w:style w:type="character" w:styleId="Style15" w:customStyle="1">
    <w:name w:val="Нижний колонтитул Знак"/>
    <w:basedOn w:val="DefaultParagraphFont"/>
    <w:uiPriority w:val="99"/>
    <w:qFormat/>
    <w:rsid w:val="00763881"/>
    <w:rPr/>
  </w:style>
  <w:style w:type="character" w:styleId="jlqj4b" w:customStyle="1">
    <w:name w:val="jlqj4b"/>
    <w:basedOn w:val="DefaultParagraphFont"/>
    <w:qFormat/>
    <w:rsid w:val="0031158f"/>
    <w:rPr/>
  </w:style>
  <w:style w:type="character" w:styleId="Style16" w:customStyle="1">
    <w:name w:val="Текст выноски Знак"/>
    <w:basedOn w:val="DefaultParagraphFont"/>
    <w:link w:val="BalloonText"/>
    <w:uiPriority w:val="99"/>
    <w:semiHidden/>
    <w:qFormat/>
    <w:rsid w:val="0031158f"/>
    <w:rPr>
      <w:rFonts w:ascii="Tahoma" w:hAnsi="Tahoma" w:cs="Tahoma"/>
      <w:sz w:val="16"/>
      <w:szCs w:val="16"/>
    </w:rPr>
  </w:style>
  <w:style w:type="character" w:styleId="sub" w:customStyle="1">
    <w:name w:val="sub"/>
    <w:basedOn w:val="DefaultParagraphFont"/>
    <w:qFormat/>
    <w:rsid w:val="00857ad5"/>
    <w:rPr/>
  </w:style>
  <w:style w:type="character" w:styleId="super" w:customStyle="1">
    <w:name w:val="super"/>
    <w:basedOn w:val="DefaultParagraphFont"/>
    <w:qFormat/>
    <w:rsid w:val="00857ad5"/>
    <w:rPr/>
  </w:style>
  <w:style w:type="character" w:styleId="apple-converted-space" w:customStyle="1">
    <w:name w:val="apple-converted-space"/>
    <w:basedOn w:val="DefaultParagraphFont"/>
    <w:qFormat/>
    <w:rsid w:val="00857ad5"/>
    <w:rPr/>
  </w:style>
  <w:style w:type="character" w:styleId="Style17" w:customStyle="1">
    <w:name w:val="Текст сноски Знак"/>
    <w:basedOn w:val="DefaultParagraphFont"/>
    <w:qFormat/>
    <w:rsid w:val="00026e65"/>
    <w:rPr>
      <w:sz w:val="20"/>
      <w:szCs w:val="20"/>
    </w:rPr>
  </w:style>
  <w:style w:type="character" w:styleId="Style18" w:customStyle="1">
    <w:name w:val="Символ сноски"/>
    <w:unhideWhenUsed/>
    <w:qFormat/>
    <w:rsid w:val="00026e65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391969"/>
    <w:rPr>
      <w:color w:val="0000FF"/>
      <w:u w:val="single"/>
    </w:rPr>
  </w:style>
  <w:style w:type="character" w:styleId="Style19" w:customStyle="1">
    <w:name w:val="Абзац списка Знак"/>
    <w:basedOn w:val="DefaultParagraphFont"/>
    <w:link w:val="ListParagraph"/>
    <w:uiPriority w:val="34"/>
    <w:qFormat/>
    <w:locked/>
    <w:rsid w:val="00391969"/>
    <w:rPr/>
  </w:style>
  <w:style w:type="character" w:styleId="Style20" w:customStyle="1">
    <w:name w:val="Основной текст Знак"/>
    <w:basedOn w:val="DefaultParagraphFont"/>
    <w:uiPriority w:val="99"/>
    <w:qFormat/>
    <w:rsid w:val="0055310c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8b3328"/>
    <w:rPr>
      <w:color w:val="605E5C"/>
      <w:shd w:fill="E1DFDD" w:val="clear"/>
    </w:rPr>
  </w:style>
  <w:style w:type="character" w:styleId="Style21" w:customStyle="1">
    <w:name w:val="Символ концевой сноски"/>
    <w:qFormat/>
    <w:rPr/>
  </w:style>
  <w:style w:type="character" w:styleId="EndnoteReference">
    <w:name w:val="endnote reference"/>
    <w:rPr>
      <w:vertAlign w:val="superscript"/>
    </w:rPr>
  </w:style>
  <w:style w:type="paragraph" w:styleId="Style22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Style20"/>
    <w:uiPriority w:val="99"/>
    <w:unhideWhenUsed/>
    <w:rsid w:val="0055310c"/>
    <w:pPr>
      <w:spacing w:lineRule="auto" w:line="240" w:before="0" w:after="12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xHeading">
    <w:name w:val="index heading"/>
    <w:basedOn w:val="Normal"/>
    <w:qFormat/>
    <w:pPr>
      <w:suppressLineNumbers/>
    </w:pPr>
    <w:rPr>
      <w:rFonts w:cs="Arial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763881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5"/>
    <w:uiPriority w:val="99"/>
    <w:unhideWhenUsed/>
    <w:rsid w:val="00763881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Style16"/>
    <w:uiPriority w:val="99"/>
    <w:semiHidden/>
    <w:unhideWhenUsed/>
    <w:qFormat/>
    <w:rsid w:val="0031158f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bl-hdr" w:customStyle="1">
    <w:name w:val="tbl-hdr"/>
    <w:basedOn w:val="Normal"/>
    <w:qFormat/>
    <w:rsid w:val="006a68c8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tbl-txt" w:customStyle="1">
    <w:name w:val="tbl-txt"/>
    <w:basedOn w:val="Normal"/>
    <w:qFormat/>
    <w:rsid w:val="006a68c8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link w:val="Style19"/>
    <w:uiPriority w:val="34"/>
    <w:qFormat/>
    <w:rsid w:val="00847b24"/>
    <w:pPr>
      <w:spacing w:lineRule="auto" w:line="259" w:before="0" w:after="160"/>
      <w:ind w:start="720"/>
      <w:contextualSpacing/>
    </w:pPr>
    <w:rPr/>
  </w:style>
  <w:style w:type="paragraph" w:styleId="FootnoteText">
    <w:name w:val="footnote text"/>
    <w:basedOn w:val="Normal"/>
    <w:link w:val="Style17"/>
    <w:unhideWhenUsed/>
    <w:rsid w:val="00026e65"/>
    <w:pPr>
      <w:spacing w:lineRule="auto" w:line="240" w:before="0" w:after="0"/>
    </w:pPr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rsid w:val="00fd1282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oint" w:customStyle="1">
    <w:name w:val="point"/>
    <w:basedOn w:val="Normal"/>
    <w:qFormat/>
    <w:rsid w:val="00284c44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Style24" w:customStyle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b">
    <w:name w:val="Table Grid"/>
    <w:basedOn w:val="a1"/>
    <w:uiPriority w:val="39"/>
    <w:rsid w:val="0031158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svg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footnotes" Target="footnotes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<Relationship Id="rId14" Type="http://schemas.openxmlformats.org/officeDocument/2006/relationships/customXml" Target="../customXml/item1.xml"/>
</Relationships>
</file>

<file path=word/_rels/footnotes.xml.rels><?xml version="1.0" encoding="UTF-8"?>
<Relationships xmlns="http://schemas.openxmlformats.org/package/2006/relationships"><Relationship Id="rId1" Type="http://schemas.openxmlformats.org/officeDocument/2006/relationships/hyperlink" Target="http://naufor.ru/tree.asp?n=31281" TargetMode="External"/><Relationship Id="rId2" Type="http://schemas.openxmlformats.org/officeDocument/2006/relationships/hyperlink" Target="http://naufor.ru/tree.asp?n=31376" TargetMode="Externa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89420C-2B5D-42E4-8F37-8A8C6FB81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559</TotalTime>
  <Application>LibreOffice/24.8.7.1$Windows_X86_64 LibreOffice_project/67172c63871c755bc0e5f9fc0c892575790cdcf6</Application>
  <AppVersion>15.0000</AppVersion>
  <Pages>6</Pages>
  <Words>1343</Words>
  <Characters>10188</Characters>
  <CharactersWithSpaces>11507</CharactersWithSpaces>
  <Paragraphs>66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2026-03-26T06:50:00Z</dcterms:created>
  <dc:creator>zverev</dc:creator>
  <dc:description/>
  <dc:language>ru-RU</dc:language>
  <cp:lastModifiedBy/>
  <cp:lastPrinted>2026-04-14T14:20:00Z</cp:lastPrinted>
  <dcterms:modified xsi:type="dcterms:W3CDTF">2026-06-18T11:59:59Z</dcterms:modified>
  <cp:revision>48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