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Nonformat"/>
        <w:widowControl/>
        <w:ind w:start="4536" w:end="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cs="Times New Roman" w:ascii="Times New Roman" w:hAnsi="Times New Roman"/>
          <w:spacing w:val="1"/>
          <w:sz w:val="24"/>
          <w:szCs w:val="24"/>
        </w:rPr>
        <w:t>УТВЕРЖДЕНО</w:t>
      </w:r>
    </w:p>
    <w:p>
      <w:pPr>
        <w:pStyle w:val="Normal"/>
        <w:shd w:fill="FFFFFF" w:val="clear"/>
        <w:ind w:hanging="0" w:start="4536" w:end="0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cs="Times New Roman"/>
          <w:spacing w:val="1"/>
          <w:sz w:val="24"/>
          <w:szCs w:val="24"/>
        </w:rPr>
      </w:r>
    </w:p>
    <w:p>
      <w:pPr>
        <w:pStyle w:val="Normal"/>
        <w:shd w:fill="FFFFFF" w:val="clear"/>
        <w:ind w:hanging="0" w:start="4536" w:end="0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Решением Совета директоров НАУФОР</w:t>
      </w:r>
    </w:p>
    <w:p>
      <w:pPr>
        <w:pStyle w:val="Normal"/>
        <w:shd w:fill="FFFFFF" w:val="clear"/>
        <w:ind w:hanging="0" w:start="4536" w:end="0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28 января 2016 г.</w:t>
      </w:r>
    </w:p>
    <w:p>
      <w:pPr>
        <w:pStyle w:val="Normal"/>
        <w:shd w:fill="FFFFFF" w:val="clear"/>
        <w:ind w:hanging="0" w:start="4536" w:end="0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</w:r>
    </w:p>
    <w:p>
      <w:pPr>
        <w:pStyle w:val="Normal"/>
        <w:shd w:fill="FFFFFF" w:val="clear"/>
        <w:ind w:hanging="0" w:start="4536" w:end="0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в редакции, утвержденной решением</w:t>
      </w:r>
    </w:p>
    <w:p>
      <w:pPr>
        <w:pStyle w:val="Normal"/>
        <w:shd w:fill="FFFFFF" w:val="clear"/>
        <w:ind w:hanging="0" w:start="4536" w:end="0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Совета директоров НАУФОР </w:t>
      </w:r>
    </w:p>
    <w:p>
      <w:pPr>
        <w:pStyle w:val="Normal"/>
        <w:shd w:fill="FFFFFF" w:val="clear"/>
        <w:ind w:hanging="0" w:start="4536" w:end="0"/>
        <w:rPr/>
      </w:pPr>
      <w:r>
        <w:rPr>
          <w:spacing w:val="1"/>
          <w:sz w:val="24"/>
          <w:szCs w:val="24"/>
        </w:rPr>
        <w:t>24 декабря 2019 г., 21 июня 2023 г.,</w:t>
      </w:r>
    </w:p>
    <w:p>
      <w:pPr>
        <w:pStyle w:val="Normal"/>
        <w:shd w:fill="FFFFFF" w:val="clear"/>
        <w:ind w:hanging="0" w:start="4536" w:end="0"/>
        <w:rPr/>
      </w:pPr>
      <w:r>
        <w:rPr>
          <w:rFonts w:eastAsia="Arial"/>
          <w:color w:val="000000"/>
          <w:sz w:val="24"/>
          <w:szCs w:val="24"/>
        </w:rPr>
        <w:t>28 июля 2026 г.</w:t>
      </w:r>
    </w:p>
    <w:p>
      <w:pPr>
        <w:pStyle w:val="ConsNonformat"/>
        <w:widowControl/>
        <w:ind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Title"/>
        <w:widowControl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 О Л О Ж Е Н И Е</w:t>
      </w:r>
    </w:p>
    <w:p>
      <w:pPr>
        <w:pStyle w:val="ConsTitle"/>
        <w:widowControl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Title"/>
        <w:widowControl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об Управлении контроля за деятельностью членов </w:t>
      </w:r>
    </w:p>
    <w:p>
      <w:pPr>
        <w:pStyle w:val="ConsTitle"/>
        <w:widowControl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Национальной ассоциации участников фондового рынка</w:t>
      </w:r>
    </w:p>
    <w:p>
      <w:pPr>
        <w:pStyle w:val="Normal"/>
        <w:ind w:hanging="0" w:end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Normal"/>
        <w:ind w:hanging="0" w:end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(новая редакция)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360"/>
        <w:ind w:hanging="0" w:end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Общие положения</w:t>
      </w:r>
    </w:p>
    <w:p>
      <w:pPr>
        <w:pStyle w:val="Normal"/>
        <w:spacing w:lineRule="auto" w:line="360"/>
        <w:ind w:firstLine="567" w:end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sz w:val="24"/>
          <w:szCs w:val="24"/>
        </w:rPr>
        <w:t>1.1. Настоящее Положение определяет задачи и функции, а также порядок формирования и осуществления деятельности Управления контроля за деятельностью членов НАУФОР (далее - управление), являющегося самостоятельным структурным подразделением НАУФОР.</w:t>
      </w:r>
    </w:p>
    <w:p>
      <w:pPr>
        <w:pStyle w:val="Normal"/>
        <w:tabs>
          <w:tab w:val="clear" w:pos="720"/>
          <w:tab w:val="left" w:pos="1138" w:leader="none"/>
        </w:tabs>
        <w:spacing w:lineRule="auto" w:line="36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1.2. Управление является специализированным органом НАУФОР, осуществляющим контроль за соблюдением членами НАУФОР федеральных законов, нормативных правовых актов Российской Федерации, нормативных актов Банка России, регулирующих деятельность в сфере финансового рынка, базовых стандартов, внутренних стандартов и иных внутренних документов НАУФОР, а также условий членства в НАУФОР.</w:t>
      </w:r>
    </w:p>
    <w:p>
      <w:pPr>
        <w:pStyle w:val="Normal"/>
        <w:spacing w:lineRule="auto" w:line="36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Объектом контроля является деятельность членов НАУФОР на финансовом рынке.</w:t>
      </w:r>
    </w:p>
    <w:p>
      <w:pPr>
        <w:pStyle w:val="Normal"/>
        <w:spacing w:lineRule="auto" w:line="36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Контроль за деятельностью ассоциированных членов НАУФОР осуществляется в том случае, если они подчиняются отдельным внутренним стандартам НАУФОР.</w:t>
      </w:r>
    </w:p>
    <w:p>
      <w:pPr>
        <w:pStyle w:val="Normal"/>
        <w:tabs>
          <w:tab w:val="clear" w:pos="720"/>
          <w:tab w:val="left" w:pos="1138" w:leader="none"/>
        </w:tabs>
        <w:spacing w:lineRule="auto" w:line="36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>
        <w:rPr>
          <w:spacing w:val="-4"/>
          <w:sz w:val="24"/>
          <w:szCs w:val="24"/>
        </w:rPr>
        <w:t xml:space="preserve">Управление осуществляет свою деятельность при взаимодействии с другими </w:t>
      </w:r>
      <w:r>
        <w:rPr>
          <w:spacing w:val="2"/>
          <w:sz w:val="24"/>
          <w:szCs w:val="24"/>
        </w:rPr>
        <w:t>структурными подразделениями, членами НАУФОР, Банком России.</w:t>
      </w:r>
    </w:p>
    <w:p>
      <w:pPr>
        <w:pStyle w:val="Normal"/>
        <w:spacing w:lineRule="auto" w:line="360" w:before="240" w:after="0"/>
        <w:ind w:firstLine="567" w:end="0"/>
        <w:jc w:val="center"/>
        <w:rPr/>
      </w:pPr>
      <w:r>
        <w:rPr>
          <w:b/>
          <w:sz w:val="24"/>
          <w:szCs w:val="24"/>
        </w:rPr>
        <w:t>2. Основные задачи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управления</w:t>
      </w:r>
    </w:p>
    <w:p>
      <w:pPr>
        <w:pStyle w:val="Normal"/>
        <w:spacing w:lineRule="auto" w:line="360" w:before="240" w:after="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Задачами управления являются:</w:t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sz w:val="24"/>
          <w:szCs w:val="24"/>
        </w:rPr>
        <w:t>2.1. Контроль за соблюдением требований федеральных законов, нормативных правовых актов Российской Федерации и нормативных актов Банка России, регулирующих деятельность в сфере финансового рынка, базовых стандартов, внутренних стандартов и иных внутренних документов НАУФОР, а также условий членства в НАУФОР;</w:t>
      </w:r>
    </w:p>
    <w:p>
      <w:pPr>
        <w:pStyle w:val="Normal"/>
        <w:spacing w:lineRule="auto" w:line="36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2.2. Своевременное выявление и пресечение нарушений членами НАУФОР требований федеральных законов, нормативных правовых актов Российской Федерации и нормативных актов Банка России, регулирующих деятельность в сфере финансового рынка, базовых стандартов, внутренних стандартов и иных внутренних документов НАУФОР, а также условий членства в НАУФОР.</w:t>
      </w:r>
    </w:p>
    <w:p>
      <w:pPr>
        <w:pStyle w:val="Normal"/>
        <w:spacing w:lineRule="auto" w:line="36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240" w:after="0"/>
        <w:ind w:firstLine="567" w:end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3. Основные функции управления</w:t>
      </w:r>
    </w:p>
    <w:p>
      <w:pPr>
        <w:pStyle w:val="Normal"/>
        <w:spacing w:lineRule="auto" w:line="360" w:before="240" w:after="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Для выполнения возложенных на него задач, управление:</w:t>
      </w:r>
    </w:p>
    <w:p>
      <w:pPr>
        <w:pStyle w:val="Normal"/>
        <w:spacing w:lineRule="auto" w:line="360" w:before="180" w:after="0"/>
        <w:ind w:firstLine="567" w:end="0"/>
        <w:jc w:val="both"/>
        <w:rPr/>
      </w:pPr>
      <w:r>
        <w:rPr>
          <w:sz w:val="24"/>
          <w:szCs w:val="24"/>
        </w:rPr>
        <w:t>3.1. Инициирует и проводит проверки членов НАУФОР в порядке, установленном Внутренним стандартом «Порядок проведения Национальной ассоциацией участников фондового рынка проверок соблюдения ее членами требований законодательства Российской Федерации, нормативных актов Банка России, базовых стандартов, внутренних стандартов и иных внутренних документов НАУФОР»;</w:t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sz w:val="24"/>
          <w:szCs w:val="24"/>
        </w:rPr>
        <w:t xml:space="preserve">3.2. Запрашивает и получает от членов НАУФОР, от работников и органов НАУФОР всю необходимую для реализации задач управления информацию и документацию </w:t>
      </w:r>
      <w:r>
        <w:rPr>
          <w:color w:val="000000"/>
          <w:sz w:val="24"/>
          <w:szCs w:val="24"/>
        </w:rPr>
        <w:t>за исключением информации, составляющей государственную или налоговую тайну</w:t>
      </w:r>
      <w:r>
        <w:rPr>
          <w:sz w:val="24"/>
          <w:szCs w:val="24"/>
        </w:rPr>
        <w:t>;</w:t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sz w:val="24"/>
          <w:szCs w:val="24"/>
        </w:rPr>
        <w:t>3.3. Подготавливает Акты по результатам проведенных проверок членов НАУФОР;</w:t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sz w:val="24"/>
          <w:szCs w:val="24"/>
        </w:rPr>
        <w:t>3.4. Контролирует исполнение членами НАУФОР требований об устранении выявленных нарушений;</w:t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sz w:val="24"/>
          <w:szCs w:val="24"/>
        </w:rPr>
        <w:t>3.5. Осуществляет сбор, хранение и анализ данных о нарушениях членами НАУФОР требований федеральных законов, нормативных правовых актов Российской Федерации и нормативных актов Банка России, регулирующих деятельность в сфере финансового рынка, базовых стандартов, внутренних стандартов и иных внутренних документов НАУФОР, а также условий членства в НАУФОР;</w:t>
      </w:r>
    </w:p>
    <w:p>
      <w:pPr>
        <w:pStyle w:val="31"/>
        <w:spacing w:lineRule="auto" w:line="360"/>
        <w:ind w:firstLine="567" w:end="0"/>
        <w:rPr/>
      </w:pPr>
      <w:r>
        <w:rPr>
          <w:szCs w:val="24"/>
        </w:rPr>
        <w:t>3.6. Осуществляет методологическую работу в целях недопущения членами НАУФОР в своей деятельности нарушения требований федеральных законов, нормативных правовых актов Российской Федерации и нормативных актов Банка России, регулирующих деятельность в сфере финансового рынка, базовых стандартов, внутренних стандартов и иных внутренних документов НАУФОР, а также условий членства в НАУФОР;</w:t>
      </w:r>
    </w:p>
    <w:p>
      <w:pPr>
        <w:pStyle w:val="31"/>
        <w:spacing w:lineRule="auto" w:line="360"/>
        <w:ind w:firstLine="567" w:end="0"/>
        <w:rPr/>
      </w:pPr>
      <w:r>
        <w:rPr>
          <w:szCs w:val="24"/>
        </w:rPr>
        <w:t>3.7. Осуществляет иные действия, направленные на реализацию задач управления.</w:t>
      </w:r>
    </w:p>
    <w:p>
      <w:pPr>
        <w:pStyle w:val="Normal"/>
        <w:spacing w:lineRule="auto" w:line="360" w:before="240" w:after="0"/>
        <w:ind w:firstLine="567" w:end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Порядок формирования и деятельности управления</w:t>
      </w:r>
    </w:p>
    <w:p>
      <w:pPr>
        <w:pStyle w:val="Normal"/>
        <w:spacing w:lineRule="auto" w:line="360" w:before="240" w:after="0"/>
        <w:ind w:firstLine="567" w:end="0"/>
        <w:jc w:val="both"/>
        <w:rPr/>
      </w:pPr>
      <w:r>
        <w:rPr>
          <w:sz w:val="24"/>
          <w:szCs w:val="24"/>
        </w:rPr>
        <w:t xml:space="preserve">4.1. Управление формируется из числа работников НАУФОР в порядке, установленном трудовым законодательством. </w:t>
      </w:r>
    </w:p>
    <w:p>
      <w:pPr>
        <w:pStyle w:val="31"/>
        <w:spacing w:lineRule="auto" w:line="360"/>
        <w:ind w:firstLine="567" w:end="0"/>
        <w:rPr>
          <w:szCs w:val="24"/>
        </w:rPr>
      </w:pPr>
      <w:r>
        <w:rPr>
          <w:szCs w:val="24"/>
        </w:rPr>
        <w:t>4.2. Работники НАУФОР, входящие в состав Управления контроля, не вправе занимать должности в органах управления, а также являться работниками членов НАУФОР.</w:t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sz w:val="24"/>
          <w:szCs w:val="24"/>
        </w:rPr>
        <w:t>4.3. Управление возглавляет начальник, назначаемый на должность и освобождаемый от должности Президентом НАУФОР. Начальник управления подчиняется непосредственно Президенту НАУФОР, если иное не предусмотрено приказом Президента НАУФОР.</w:t>
      </w:r>
    </w:p>
    <w:p>
      <w:pPr>
        <w:pStyle w:val="Normal"/>
        <w:spacing w:lineRule="auto" w:line="36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Начальник управления выполняет следующие функции: </w:t>
      </w:r>
    </w:p>
    <w:p>
      <w:pPr>
        <w:pStyle w:val="Normal"/>
        <w:spacing w:lineRule="auto" w:line="36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4.4.1. Осуществляет непосредственное руководство деятельностью управления; </w:t>
      </w:r>
    </w:p>
    <w:p>
      <w:pPr>
        <w:pStyle w:val="31"/>
        <w:spacing w:lineRule="auto" w:line="360"/>
        <w:ind w:firstLine="567" w:end="0"/>
        <w:rPr>
          <w:szCs w:val="24"/>
        </w:rPr>
      </w:pPr>
      <w:r>
        <w:rPr>
          <w:szCs w:val="24"/>
        </w:rPr>
        <w:t>4.4.2. Распределяет обязанности между работниками, входящими в состав управления, способствует повышению их квалификации и развитию инициативы;</w:t>
      </w:r>
    </w:p>
    <w:p>
      <w:pPr>
        <w:pStyle w:val="Normal"/>
        <w:spacing w:lineRule="auto" w:line="36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4.4.3. Подготавливает предложения по структуре, штатному расписанию и должностным окладам, материальному и иному поощрению работников, входящих в состав управления;</w:t>
      </w:r>
    </w:p>
    <w:p>
      <w:pPr>
        <w:pStyle w:val="Normal"/>
        <w:spacing w:lineRule="auto" w:line="36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4.4.4. Подготавливает предложения о приеме и увольнении работников управления;</w:t>
      </w:r>
    </w:p>
    <w:p>
      <w:pPr>
        <w:pStyle w:val="Normal"/>
        <w:spacing w:lineRule="auto" w:line="36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4.4.5. Контролирует соблюдение работниками управления правил внутреннего трудового распорядка НАУФОР, принимает меры по поддержанию и соблюдению трудовой дисциплины;</w:t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sz w:val="24"/>
          <w:szCs w:val="24"/>
        </w:rPr>
        <w:t>4.4.6. Осуществляет контроль за исполнением работниками управления указаний начальника управления, приказов и распоряжений Президента НАУФОР, решений органов управления НАУФОР, устава и внутренних документов НАУФОР;</w:t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sz w:val="24"/>
          <w:szCs w:val="24"/>
        </w:rPr>
        <w:t>4.4.7. Обеспечивает подготовку отчета о проделанной управлением работе;</w:t>
      </w:r>
    </w:p>
    <w:p>
      <w:pPr>
        <w:pStyle w:val="Normal"/>
        <w:autoSpaceDE w:val="false"/>
        <w:spacing w:lineRule="auto" w:line="360"/>
        <w:ind w:firstLine="567" w:end="0"/>
        <w:jc w:val="both"/>
        <w:rPr/>
      </w:pPr>
      <w:r>
        <w:rPr>
          <w:sz w:val="24"/>
          <w:szCs w:val="24"/>
        </w:rPr>
        <w:t>4.4.8. Согласовывает график очередных отпусков работников управления.</w:t>
      </w:r>
    </w:p>
    <w:p>
      <w:pPr>
        <w:pStyle w:val="31"/>
        <w:spacing w:lineRule="auto" w:line="360"/>
        <w:ind w:firstLine="567" w:end="0"/>
        <w:rPr>
          <w:szCs w:val="24"/>
        </w:rPr>
      </w:pPr>
      <w:r>
        <w:rPr>
          <w:szCs w:val="24"/>
        </w:rPr>
        <w:t>4.5. Начальник управления и работники управления обязаны соблюдать  трудовую и производственную дисциплину, правила внутреннего трудового распорядка НАУФОР, нормы, правила и инструкции по охране труда.</w:t>
      </w:r>
    </w:p>
    <w:p>
      <w:pPr>
        <w:pStyle w:val="31"/>
        <w:spacing w:lineRule="auto" w:line="360"/>
        <w:ind w:firstLine="567" w:end="0"/>
        <w:rPr>
          <w:szCs w:val="24"/>
        </w:rPr>
      </w:pPr>
      <w:r>
        <w:rPr>
          <w:szCs w:val="24"/>
        </w:rPr>
        <w:t>4.6. Начальник управления и работники управления несут ответственность за разглашение и распространение сведений, полученных в ходе проведения проверок членов НАУФОР, в соответствии с законодательством Российской Федерации.</w:t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440" w:right="1728" w:gutter="0" w:header="720" w:top="1440" w:footer="720" w:bottom="776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Symbol">
    <w:charset w:val="cc" w:characterSet="windows-1251"/>
    <w:family w:val="roman"/>
    <w:pitch w:val="variable"/>
  </w:font>
  <w:font w:name="Wingdings">
    <w:charset w:val="cc" w:characterSet="windows-1251"/>
    <w:family w:val="roman"/>
    <w:pitch w:val="variable"/>
  </w:font>
  <w:font w:name="Courier New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Courier New">
    <w:charset w:val="cc" w:characterSet="windows-1251"/>
    <w:family w:val="modern"/>
    <w:pitch w:val="default"/>
  </w:font>
  <w:font w:name="MS Sans Serif">
    <w:altName w:val="Times New Roman"/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hanging="0" w:end="360"/>
      <w:rPr>
        <w:sz w:val="16"/>
      </w:rPr>
    </w:pPr>
    <w:r>
      <w:rPr>
        <w:sz w:val="16"/>
      </w:rPr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344805" cy="14668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4805" cy="14668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27.15pt;height:11.55pt;mso-wrap-distance-left:0pt;mso-wrap-distance-right:0pt;mso-wrap-distance-top:0pt;mso-wrap-distance-bottom:0pt;margin-top:0.05pt;mso-position-vertical-relative:text;margin-left:409.75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upperRoman"/>
      <w:lvlText w:val="%1."/>
      <w:lvlJc w:val="start"/>
      <w:pPr>
        <w:tabs>
          <w:tab w:val="num" w:pos="720"/>
        </w:tabs>
        <w:ind w:start="720" w:hanging="720"/>
      </w:pPr>
      <w:rPr/>
    </w:lvl>
    <w:lvl w:ilvl="1">
      <w:start w:val="1"/>
      <w:isLgl/>
      <w:numFmt w:val="decimal"/>
      <w:lvlText w:val="%1.%2."/>
      <w:lvlJc w:val="start"/>
      <w:pPr>
        <w:tabs>
          <w:tab w:val="num" w:pos="480"/>
        </w:tabs>
        <w:ind w:start="480" w:hanging="480"/>
      </w:pPr>
      <w:rPr/>
    </w:lvl>
    <w:lvl w:ilvl="2">
      <w:start w:val="1"/>
      <w:isLgl/>
      <w:numFmt w:val="decimal"/>
      <w:lvlText w:val="%1.%2.%3."/>
      <w:lvlJc w:val="start"/>
      <w:pPr>
        <w:tabs>
          <w:tab w:val="num" w:pos="720"/>
        </w:tabs>
        <w:ind w:start="720" w:hanging="720"/>
      </w:pPr>
      <w:rPr/>
    </w:lvl>
    <w:lvl w:ilvl="3">
      <w:start w:val="1"/>
      <w:isLgl/>
      <w:numFmt w:val="decimal"/>
      <w:lvlText w:val="%1.%2.%3.%4."/>
      <w:lvlJc w:val="start"/>
      <w:pPr>
        <w:tabs>
          <w:tab w:val="num" w:pos="720"/>
        </w:tabs>
        <w:ind w:start="720" w:hanging="720"/>
      </w:pPr>
      <w:rPr/>
    </w:lvl>
    <w:lvl w:ilvl="4">
      <w:start w:val="1"/>
      <w:isLgl/>
      <w:numFmt w:val="decimal"/>
      <w:lvlText w:val="%1.%2.%3.%4.%5."/>
      <w:lvlJc w:val="start"/>
      <w:pPr>
        <w:tabs>
          <w:tab w:val="num" w:pos="1080"/>
        </w:tabs>
        <w:ind w:start="1080" w:hanging="1080"/>
      </w:pPr>
      <w:rPr/>
    </w:lvl>
    <w:lvl w:ilvl="5">
      <w:start w:val="1"/>
      <w:isLgl/>
      <w:numFmt w:val="decimal"/>
      <w:lvlText w:val="%1.%2.%3.%4.%5.%6."/>
      <w:lvlJc w:val="start"/>
      <w:pPr>
        <w:tabs>
          <w:tab w:val="num" w:pos="1080"/>
        </w:tabs>
        <w:ind w:start="1080" w:hanging="1080"/>
      </w:pPr>
      <w:rPr/>
    </w:lvl>
    <w:lvl w:ilvl="6">
      <w:start w:val="1"/>
      <w:isLgl/>
      <w:numFmt w:val="decimal"/>
      <w:lvlText w:val="%1.%2.%3.%4.%5.%6.%7."/>
      <w:lvlJc w:val="start"/>
      <w:pPr>
        <w:tabs>
          <w:tab w:val="num" w:pos="1440"/>
        </w:tabs>
        <w:ind w:start="1440" w:hanging="1440"/>
      </w:pPr>
      <w:rPr/>
    </w:lvl>
    <w:lvl w:ilvl="7">
      <w:start w:val="1"/>
      <w:isLgl/>
      <w:numFmt w:val="decimal"/>
      <w:lvlText w:val="%1.%2.%3.%4.%5.%6.%7.%8."/>
      <w:lvlJc w:val="start"/>
      <w:pPr>
        <w:tabs>
          <w:tab w:val="num" w:pos="1440"/>
        </w:tabs>
        <w:ind w:start="1440" w:hanging="1440"/>
      </w:pPr>
      <w:rPr/>
    </w:lvl>
    <w:lvl w:ilvl="8">
      <w:start w:val="1"/>
      <w:isLgl/>
      <w:numFmt w:val="decimal"/>
      <w:lvlText w:val="%1.%2.%3.%4.%5.%6.%7.%8.%9."/>
      <w:lvlJc w:val="start"/>
      <w:pPr>
        <w:tabs>
          <w:tab w:val="num" w:pos="1800"/>
        </w:tabs>
        <w:ind w:start="180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278"/>
      <w:ind w:firstLine="520" w:start="0" w:end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/>
      <w:ind w:hanging="0" w:start="0" w:end="0"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 w:val="true"/>
      <w:widowControl/>
      <w:numPr>
        <w:ilvl w:val="0"/>
        <w:numId w:val="2"/>
      </w:numPr>
      <w:tabs>
        <w:tab w:val="clear" w:pos="720"/>
      </w:tabs>
      <w:spacing w:lineRule="auto" w:line="240" w:before="0" w:after="120"/>
      <w:ind w:hanging="0" w:start="0" w:end="0"/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240"/>
      <w:ind w:hanging="0" w:start="0" w:end="0"/>
      <w:jc w:val="center"/>
      <w:outlineLvl w:val="2"/>
    </w:pPr>
    <w:rPr>
      <w:b/>
      <w:sz w:val="28"/>
    </w:rPr>
  </w:style>
  <w:style w:type="character" w:styleId="WW8Num1z0">
    <w:name w:val="WW8Num1z0"/>
    <w:qFormat/>
    <w:rPr/>
  </w:style>
  <w:style w:type="character" w:styleId="Style11">
    <w:name w:val="Основной шрифт абзаца"/>
    <w:qFormat/>
    <w:rPr/>
  </w:style>
  <w:style w:type="character" w:styleId="PageNumber">
    <w:name w:val="page number"/>
    <w:basedOn w:val="Style11"/>
    <w:rPr/>
  </w:style>
  <w:style w:type="character" w:styleId="Style12">
    <w:name w:val="Не вступил в силу"/>
    <w:qFormat/>
    <w:rPr>
      <w:color w:val="000000"/>
      <w:shd w:fill="D8EDE8" w:val="clear"/>
    </w:rPr>
  </w:style>
  <w:style w:type="character" w:styleId="Style13">
    <w:name w:val="Нижний колонтитул Знак"/>
    <w:qFormat/>
    <w:rPr/>
  </w:style>
  <w:style w:type="character" w:styleId="Style14">
    <w:name w:val="Основной текст Знак"/>
    <w:qFormat/>
    <w:rPr/>
  </w:style>
  <w:style w:type="character" w:styleId="LineNumber">
    <w:name w:val="line number"/>
    <w:rPr/>
  </w:style>
  <w:style w:type="character" w:styleId="1">
    <w:name w:val="Текст примечания Знак1"/>
    <w:basedOn w:val="DefaultParagraphFont"/>
    <w:qFormat/>
    <w:rPr>
      <w:lang w:eastAsia="ar-SA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Style15">
    <w:name w:val="Тема примечания Знак"/>
    <w:qFormat/>
    <w:rPr>
      <w:b/>
      <w:bCs/>
    </w:rPr>
  </w:style>
  <w:style w:type="character" w:styleId="Style16">
    <w:name w:val="Текст примечания Знак"/>
    <w:basedOn w:val="12"/>
    <w:qFormat/>
    <w:rPr/>
  </w:style>
  <w:style w:type="character" w:styleId="11">
    <w:name w:val="Знак примечания1"/>
    <w:qFormat/>
    <w:rPr>
      <w:sz w:val="16"/>
      <w:szCs w:val="16"/>
    </w:rPr>
  </w:style>
  <w:style w:type="character" w:styleId="12">
    <w:name w:val="Основной шрифт абзаца1"/>
    <w:qFormat/>
    <w:rPr/>
  </w:style>
  <w:style w:type="character" w:styleId="WW8Num21z0">
    <w:name w:val="WW8Num21z0"/>
    <w:qFormat/>
    <w:rPr>
      <w:rFonts w:ascii="Symbol" w:hAnsi="Symbol"/>
    </w:rPr>
  </w:style>
  <w:style w:type="character" w:styleId="WW8Num20z0">
    <w:name w:val="WW8Num20z0"/>
    <w:qFormat/>
    <w:rPr>
      <w:b/>
    </w:rPr>
  </w:style>
  <w:style w:type="character" w:styleId="WW8Num9z0">
    <w:name w:val="WW8Num9z0"/>
    <w:qFormat/>
    <w:rPr>
      <w:rFonts w:ascii="Symbol" w:hAnsi="Symbol"/>
    </w:rPr>
  </w:style>
  <w:style w:type="character" w:styleId="WW8Num3z0">
    <w:name w:val="WW8Num3z0"/>
    <w:qFormat/>
    <w:rPr>
      <w:rFonts w:ascii="Wingdings" w:hAnsi="Wingdings"/>
    </w:rPr>
  </w:style>
  <w:style w:type="character" w:styleId="WW8Num2z3">
    <w:name w:val="WW8Num2z3"/>
    <w:qFormat/>
    <w:rPr>
      <w:rFonts w:ascii="Symbol" w:hAnsi="Symbol"/>
    </w:rPr>
  </w:style>
  <w:style w:type="character" w:styleId="WW8Num2z2">
    <w:name w:val="WW8Num2z2"/>
    <w:qFormat/>
    <w:rPr>
      <w:rFonts w:ascii="Wingdings" w:hAnsi="Wingdings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DefaultParagraphFont">
    <w:name w:val="Default Paragraph 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FR1">
    <w:name w:val="FR1"/>
    <w:qFormat/>
    <w:pPr>
      <w:widowControl w:val="false"/>
      <w:bidi w:val="0"/>
      <w:jc w:val="both"/>
    </w:pPr>
    <w:rPr>
      <w:rFonts w:ascii="Arial" w:hAnsi="Arial" w:eastAsia="Times New Roman" w:cs="Arial"/>
      <w:i/>
      <w:color w:val="auto"/>
      <w:sz w:val="12"/>
      <w:szCs w:val="20"/>
      <w:lang w:val="ru-RU" w:bidi="ar-SA" w:eastAsia="zh-CN"/>
    </w:rPr>
  </w:style>
  <w:style w:type="paragraph" w:styleId="BodyTextIndent">
    <w:name w:val="Body Text Indent"/>
    <w:basedOn w:val="Normal"/>
    <w:pPr>
      <w:spacing w:lineRule="auto" w:line="240"/>
      <w:ind w:hanging="0" w:start="4800" w:end="0"/>
      <w:jc w:val="end"/>
    </w:pPr>
    <w:rPr/>
  </w:style>
  <w:style w:type="paragraph" w:styleId="2">
    <w:name w:val="Основной текст с отступом 2"/>
    <w:basedOn w:val="Normal"/>
    <w:qFormat/>
    <w:pPr>
      <w:spacing w:lineRule="auto" w:line="240"/>
      <w:ind w:firstLine="540" w:start="0" w:end="0"/>
      <w:jc w:val="both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>
      <w:lang w:val="ru-RU"/>
    </w:rPr>
  </w:style>
  <w:style w:type="paragraph" w:styleId="3">
    <w:name w:val="Основной текст с отступом 3"/>
    <w:basedOn w:val="Normal"/>
    <w:qFormat/>
    <w:pPr>
      <w:spacing w:lineRule="auto" w:line="240"/>
    </w:pPr>
    <w:rPr/>
  </w:style>
  <w:style w:type="paragraph" w:styleId="31">
    <w:name w:val="Основной текст 3"/>
    <w:basedOn w:val="Normal"/>
    <w:qFormat/>
    <w:pPr>
      <w:widowControl/>
      <w:spacing w:lineRule="auto" w:line="240"/>
      <w:ind w:hanging="0" w:start="0" w:end="0"/>
      <w:jc w:val="both"/>
    </w:pPr>
    <w:rPr>
      <w:sz w:val="24"/>
    </w:rPr>
  </w:style>
  <w:style w:type="paragraph" w:styleId="Style1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ConsNonformat">
    <w:name w:val="ConsNonformat"/>
    <w:qFormat/>
    <w:pPr>
      <w:widowControl w:val="false"/>
      <w:autoSpaceDE w:val="false"/>
      <w:bidi w:val="0"/>
      <w:ind w:hanging="0" w:start="0" w:end="19772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ConsTitle">
    <w:name w:val="ConsTitle"/>
    <w:qFormat/>
    <w:pPr>
      <w:widowControl w:val="false"/>
      <w:autoSpaceDE w:val="false"/>
      <w:bidi w:val="0"/>
      <w:ind w:hanging="0" w:start="0" w:end="19772"/>
    </w:pPr>
    <w:rPr>
      <w:rFonts w:ascii="Arial" w:hAnsi="Arial" w:eastAsia="Times New Roman" w:cs="Arial"/>
      <w:b/>
      <w:bCs/>
      <w:color w:val="auto"/>
      <w:sz w:val="16"/>
      <w:szCs w:val="16"/>
      <w:lang w:val="ru-RU" w:bidi="ar-SA" w:eastAsia="zh-CN"/>
    </w:rPr>
  </w:style>
  <w:style w:type="paragraph" w:styleId="s25">
    <w:name w:val="s_25"/>
    <w:basedOn w:val="Normal"/>
    <w:qFormat/>
    <w:pPr>
      <w:widowControl/>
      <w:spacing w:lineRule="auto" w:line="240" w:before="100" w:after="100"/>
      <w:ind w:hanging="0" w:start="0" w:end="0"/>
    </w:pPr>
    <w:rPr>
      <w:rFonts w:ascii="MS Sans Serif;Times New Roman" w:hAnsi="MS Sans Serif;Times New Roman" w:cs="MS Sans Serif;Times New Roman"/>
      <w:szCs w:val="24"/>
      <w:lang w:val="en-US"/>
    </w:rPr>
  </w:style>
  <w:style w:type="paragraph" w:styleId="Style20">
    <w:name w:val="Содержимое врезки"/>
    <w:basedOn w:val="Normal"/>
    <w:qFormat/>
    <w:pPr/>
    <w:rPr/>
  </w:style>
  <w:style w:type="paragraph" w:styleId="Style21">
    <w:name w:val="Верхний колонтитул слева"/>
    <w:basedOn w:val="Header"/>
    <w:qFormat/>
    <w:pPr>
      <w:suppressLineNumbers/>
      <w:tabs>
        <w:tab w:val="clear" w:pos="4320"/>
        <w:tab w:val="clear" w:pos="8640"/>
        <w:tab w:val="center" w:pos="4369" w:leader="none"/>
        <w:tab w:val="right" w:pos="8738" w:leader="none"/>
      </w:tabs>
    </w:pPr>
    <w:rPr/>
  </w:style>
  <w:style w:type="paragraph" w:styleId="user">
    <w:name w:val="Содержимое врезки (user)"/>
    <w:basedOn w:val="Normal"/>
    <w:qFormat/>
    <w:pPr/>
    <w:rPr/>
  </w:style>
  <w:style w:type="paragraph" w:styleId="CommentText">
    <w:name w:val="annotation text"/>
    <w:basedOn w:val="Normal"/>
    <w:pPr/>
    <w:rPr/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Arial" w:cs="Times New Roman"/>
      <w:color w:val="auto"/>
      <w:kern w:val="0"/>
      <w:sz w:val="20"/>
      <w:szCs w:val="20"/>
      <w:lang w:val="ru-RU" w:eastAsia="ar-SA" w:bidi="ar-SA"/>
    </w:rPr>
  </w:style>
  <w:style w:type="paragraph" w:styleId="annotationsubject">
    <w:name w:val="annotation subject"/>
    <w:basedOn w:val="13"/>
    <w:next w:val="13"/>
    <w:qFormat/>
    <w:pPr/>
    <w:rPr>
      <w:b/>
      <w:bCs/>
    </w:rPr>
  </w:style>
  <w:style w:type="paragraph" w:styleId="13">
    <w:name w:val="Текст примечания1"/>
    <w:basedOn w:val="Normal"/>
    <w:qFormat/>
    <w:pPr/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ubtitle">
    <w:name w:val="Subtitle"/>
    <w:basedOn w:val="16"/>
    <w:next w:val="BodyText"/>
    <w:qFormat/>
    <w:pPr>
      <w:jc w:val="center"/>
    </w:pPr>
    <w:rPr>
      <w:i/>
      <w:iCs/>
    </w:rPr>
  </w:style>
  <w:style w:type="paragraph" w:styleId="Title">
    <w:name w:val="Title"/>
    <w:basedOn w:val="Normal"/>
    <w:next w:val="Subtitle"/>
    <w:qFormat/>
    <w:pPr>
      <w:jc w:val="center"/>
    </w:pPr>
    <w:rPr>
      <w:sz w:val="24"/>
    </w:rPr>
  </w:style>
  <w:style w:type="paragraph" w:styleId="ConsPlusNormal">
    <w:name w:val="ConsPlusNormal"/>
    <w:qFormat/>
    <w:pPr>
      <w:widowControl/>
      <w:suppressAutoHyphens w:val="true"/>
      <w:bidi w:val="0"/>
      <w:spacing w:before="0" w:after="0"/>
      <w:ind w:firstLine="720"/>
      <w:jc w:val="start"/>
    </w:pPr>
    <w:rPr>
      <w:rFonts w:ascii="Arial" w:hAnsi="Arial" w:eastAsia="Arial" w:cs="Times New Roman"/>
      <w:color w:val="auto"/>
      <w:kern w:val="0"/>
      <w:sz w:val="20"/>
      <w:szCs w:val="20"/>
      <w:lang w:val="ru-RU" w:eastAsia="ar-SA" w:bidi="ar-SA"/>
    </w:rPr>
  </w:style>
  <w:style w:type="paragraph" w:styleId="ConsCell">
    <w:name w:val="ConsCell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Arial" w:cs="Times New Roman"/>
      <w:color w:val="auto"/>
      <w:kern w:val="0"/>
      <w:sz w:val="20"/>
      <w:szCs w:val="20"/>
      <w:lang w:val="ru-RU" w:eastAsia="ar-SA" w:bidi="ar-SA"/>
    </w:rPr>
  </w:style>
  <w:style w:type="paragraph" w:styleId="ConsNormal">
    <w:name w:val="ConsNormal"/>
    <w:qFormat/>
    <w:pPr>
      <w:widowControl w:val="false"/>
      <w:suppressAutoHyphens w:val="true"/>
      <w:bidi w:val="0"/>
      <w:spacing w:before="0" w:after="0"/>
      <w:ind w:firstLine="720" w:end="19772"/>
      <w:jc w:val="start"/>
    </w:pPr>
    <w:rPr>
      <w:rFonts w:ascii="Arial" w:hAnsi="Arial" w:eastAsia="Arial" w:cs="Times New Roman"/>
      <w:color w:val="auto"/>
      <w:kern w:val="0"/>
      <w:sz w:val="22"/>
      <w:szCs w:val="20"/>
      <w:lang w:val="ru-RU" w:eastAsia="ar-SA" w:bidi="ar-SA"/>
    </w:rPr>
  </w:style>
  <w:style w:type="paragraph" w:styleId="21">
    <w:name w:val="Основной текст 21"/>
    <w:basedOn w:val="Normal"/>
    <w:qFormat/>
    <w:pPr>
      <w:widowControl w:val="false"/>
      <w:jc w:val="both"/>
    </w:pPr>
    <w:rPr>
      <w:color w:val="000000"/>
      <w:sz w:val="24"/>
    </w:rPr>
  </w:style>
  <w:style w:type="paragraph" w:styleId="211">
    <w:name w:val="Основной текст с отступом 21"/>
    <w:basedOn w:val="Normal"/>
    <w:qFormat/>
    <w:pPr>
      <w:ind w:start="360"/>
      <w:jc w:val="both"/>
    </w:pPr>
    <w:rPr>
      <w:sz w:val="24"/>
    </w:rPr>
  </w:style>
  <w:style w:type="paragraph" w:styleId="311">
    <w:name w:val="Основной текст 31"/>
    <w:basedOn w:val="Normal"/>
    <w:qFormat/>
    <w:pPr/>
    <w:rPr>
      <w:sz w:val="22"/>
    </w:rPr>
  </w:style>
  <w:style w:type="paragraph" w:styleId="312">
    <w:name w:val="Основной текст с отступом 31"/>
    <w:basedOn w:val="Normal"/>
    <w:qFormat/>
    <w:pPr>
      <w:ind w:firstLine="709"/>
      <w:jc w:val="both"/>
    </w:pPr>
    <w:rPr>
      <w:sz w:val="24"/>
    </w:rPr>
  </w:style>
  <w:style w:type="paragraph" w:styleId="14">
    <w:name w:val="Указатель1"/>
    <w:basedOn w:val="Normal"/>
    <w:qFormat/>
    <w:pPr>
      <w:suppressLineNumbers/>
    </w:pPr>
    <w:rPr>
      <w:rFonts w:ascii="Arial" w:hAnsi="Arial"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styleId="16">
    <w:name w:val="Заголовок1"/>
    <w:basedOn w:val="Normal"/>
    <w:next w:val="BodyText"/>
    <w:qFormat/>
    <w:pPr>
      <w:keepNext w:val="true"/>
      <w:spacing w:before="240" w:after="120"/>
    </w:pPr>
    <w:rPr>
      <w:rFonts w:ascii="Arial" w:hAnsi="Arial" w:eastAsia="SimSun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numbering" w:styleId="WW8Num1">
    <w:name w:val="WW8Num1"/>
    <w:qFormat/>
  </w:style>
  <w:style w:type="numbering" w:styleId="Style22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Application>LibreOffice/24.8.7.1$Windows_X86_64 LibreOffice_project/67172c63871c755bc0e5f9fc0c892575790cdcf6</Application>
  <AppVersion>15.0000</AppVersion>
  <Pages>4</Pages>
  <Words>682</Words>
  <Characters>5039</Characters>
  <CharactersWithSpaces>5682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2015-10-26T17:10:00Z</dcterms:created>
  <dc:creator/>
  <dc:description/>
  <cp:keywords/>
  <dc:language>ru-RU</dc:language>
  <cp:lastModifiedBy/>
  <cp:lastPrinted>2015-10-23T14:46:00Z</cp:lastPrinted>
  <dcterms:modified xsi:type="dcterms:W3CDTF">2026-07-28T14:17:12Z</dcterms:modified>
  <cp:revision>21</cp:revision>
  <dc:subject/>
  <dc:title/>
</cp:coreProperties>
</file>