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007" w:rsidRDefault="00427CAD" w:rsidP="00CA20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обучения инвестиционных советников НАУФОР</w:t>
      </w:r>
    </w:p>
    <w:p w:rsidR="00D51007" w:rsidRDefault="00D510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007" w:rsidRDefault="00427CAD">
      <w:pPr>
        <w:pStyle w:val="a9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Требования Базовых и внутренних стандартов СРО при осуществлении деятельности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51007" w:rsidRDefault="00427CAD">
      <w:pPr>
        <w:pStyle w:val="a9"/>
        <w:numPr>
          <w:ilvl w:val="1"/>
          <w:numId w:val="2"/>
        </w:numPr>
        <w:tabs>
          <w:tab w:val="left" w:pos="426"/>
          <w:tab w:val="left" w:pos="1276"/>
        </w:tabs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саморегулирование на финансовом рынке (роль СРО на финансовом рынке, </w:t>
      </w:r>
      <w:r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</w:rPr>
        <w:t>разработка и применение базовых и внутренних стандартов, надзорные функции СРО, меры дисциплинарного воздействия);</w:t>
      </w:r>
    </w:p>
    <w:p w:rsidR="00D51007" w:rsidRDefault="00427CAD">
      <w:pPr>
        <w:pStyle w:val="a9"/>
        <w:numPr>
          <w:ilvl w:val="1"/>
          <w:numId w:val="2"/>
        </w:numPr>
        <w:tabs>
          <w:tab w:val="left" w:pos="426"/>
          <w:tab w:val="left" w:pos="1276"/>
        </w:tabs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 xml:space="preserve">требования  Базовых стандартов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color w:val="01161E"/>
          <w:sz w:val="24"/>
          <w:szCs w:val="24"/>
          <w:shd w:val="clear" w:color="auto" w:fill="FFFFFF"/>
        </w:rPr>
        <w:t>совершению инвестиционным советником операций на финансовом рынке (</w:t>
      </w:r>
      <w:r>
        <w:rPr>
          <w:rFonts w:ascii="Times New Roman" w:hAnsi="Times New Roman" w:cs="Times New Roman"/>
          <w:sz w:val="24"/>
          <w:szCs w:val="24"/>
        </w:rPr>
        <w:t>признаки, состав, порядок предоставления ИИР, определение инвестиционного профиля и его параметров, требования к договору об инвестиционном консультировании</w:t>
      </w:r>
      <w:r w:rsidR="00C77682">
        <w:rPr>
          <w:rFonts w:ascii="Times New Roman" w:hAnsi="Times New Roman" w:cs="Times New Roman"/>
          <w:sz w:val="24"/>
          <w:szCs w:val="24"/>
        </w:rPr>
        <w:t>,</w:t>
      </w:r>
      <w:r w:rsidR="00C77682" w:rsidRPr="00C77682">
        <w:rPr>
          <w:rFonts w:ascii="Times New Roman" w:hAnsi="Times New Roman" w:cs="Times New Roman"/>
        </w:rPr>
        <w:t xml:space="preserve"> правила предоставления информации получателю финансовых услуг, информации об условиях договора об инвестиционном консультировании, правила взаимодействия с получателями финансовых услуг, рассмотрение обращений и жалоб,</w:t>
      </w:r>
      <w:r w:rsidR="00C77682">
        <w:t xml:space="preserve"> </w:t>
      </w:r>
      <w:r w:rsidR="00033DE2">
        <w:t>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римеры из надзорной практики); </w:t>
      </w:r>
    </w:p>
    <w:p w:rsidR="00D51007" w:rsidRDefault="00427CAD">
      <w:pPr>
        <w:pStyle w:val="a9"/>
        <w:numPr>
          <w:ilvl w:val="1"/>
          <w:numId w:val="2"/>
        </w:numPr>
        <w:tabs>
          <w:tab w:val="left" w:pos="426"/>
          <w:tab w:val="left" w:pos="1276"/>
        </w:tabs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финансовых продуктов инвестиционными советниками (требования стандартов предложения финансовых инструментов,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различия между инвестиционным консультированием и предложением финансовых продуктов); </w:t>
      </w:r>
    </w:p>
    <w:p w:rsidR="00D51007" w:rsidRDefault="00427CAD">
      <w:pPr>
        <w:pStyle w:val="a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услуг инвестиционного консультирования посредством программ (различия между программами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автоконсультирования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автоследования, требования к программам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автоконсультирования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автоследования, требования внутреннего стандарта НАУФОР к предоставлению услуг автоследования – основные понятия, предоставление информации и принципы осуществления деятельности). </w:t>
      </w:r>
    </w:p>
    <w:p w:rsidR="00D51007" w:rsidRDefault="00427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2. Принципы составления финансовой отчетности и ее анализа.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стандарты финансовой отчетности публичных компаний (РСБУ; </w:t>
      </w:r>
      <w:r>
        <w:rPr>
          <w:rFonts w:ascii="Times New Roman" w:hAnsi="Times New Roman" w:cs="Times New Roman"/>
          <w:sz w:val="24"/>
          <w:szCs w:val="24"/>
          <w:lang w:val="en-US"/>
        </w:rPr>
        <w:t>IFRS</w:t>
      </w:r>
      <w:r>
        <w:rPr>
          <w:rFonts w:ascii="Times New Roman" w:hAnsi="Times New Roman" w:cs="Times New Roman"/>
          <w:sz w:val="24"/>
          <w:szCs w:val="24"/>
        </w:rPr>
        <w:t>; GAAP – в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каких случаях (в т.ч. в юрисдикциях) составляется, основные различия).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основные принципы составления финансовой отчетности (достоверность;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непрерывность, принцип двойной записи, периодичность составления и публикации);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основные формы финансовой отчетности (баланс; отчет о прибылях и убытках;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движении денежных средств, отчет об изменениях капитала) - цели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составления и периодичность;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две стороны баланса - «сторона активов» и «сторона обязательств и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собственного капитала». Основная взаимосвязь (собственный капитал=разница между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активами и обязательствами);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отчет о прибыли и убытках как результат деятельности компании за определенный период времени. Концепция начисления (момент признания дохода или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расхода – момент возникновения обязательства).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2.6. отчет о движении денежных средств как источник информации о денежных</w:t>
      </w:r>
    </w:p>
    <w:p w:rsidR="00D51007" w:rsidRDefault="00427C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потоках от операционной, финансовой и инвестиционной деятельности компании за период.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отчет об изменениях капитала как источник информации о структуре и причинах изменения собственных источников финансирования деятельности компании.</w:t>
      </w:r>
    </w:p>
    <w:p w:rsidR="00D51007" w:rsidRDefault="00427CA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консолидированная и неконсолидированная отчетность - различия.</w:t>
      </w: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3. Основы финансовой математики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наращение и дисконтирование. Исчисление сложных процентов.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понятие приведенной стоимости. Дисконтный множитель. Чистая приведенная стоимость.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перпетуитет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аннуитет. Приведенная стоимость аннуитета. Понятие теоретической стоимости ценной бумаги.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полная доходность (внутренняя норма процента). Уравнение эквивалентности.</w:t>
      </w: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4. Основные понятия структуры и стоимости капитала, корпоративные действия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цели корпоративного развития. Система корпоративного управления.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критерии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основные методы принятия инвестиционных решений. Метод срока окупаемости (</w:t>
      </w:r>
      <w:proofErr w:type="spellStart"/>
      <w:r>
        <w:rPr>
          <w:rFonts w:ascii="Times New Roman" w:hAnsi="Times New Roman" w:cs="Times New Roman"/>
          <w:sz w:val="24"/>
          <w:szCs w:val="24"/>
        </w:rPr>
        <w:t>payback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>); метод чистой приведенной ценности (</w:t>
      </w:r>
      <w:proofErr w:type="spellStart"/>
      <w:r>
        <w:rPr>
          <w:rFonts w:ascii="Times New Roman" w:hAnsi="Times New Roman" w:cs="Times New Roman"/>
          <w:sz w:val="24"/>
          <w:szCs w:val="24"/>
        </w:rPr>
        <w:t>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NPV); метод внутренней ставки доходности (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Return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IRR).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безрисковая ставка. Риск-премии. Использование безрисковых ставок и риск-премий при оценке стоимости капитала. Выбор ставок дисконтирования.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расчет средневзвешенной стоимости капитала (WACC) фирмы. Стоимость собственного капитала. Модель стоимости капитальных активов (CAPM). Стоимость заемного капитала. Методы подбора весов собственного и заемного капитала.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структура капитала. Финансовый рычаг (леверидж).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оптимизация структуры капитала. Теорема Модильяни-Миллера. Движение от теории к практике за счет учета аспектов налогообложения, риска банкротства и агентских издержек.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основные корпоративные действия: выпуск акций; выпуск облигаций; выплата дивидендов; выкуп акций. Оценка их целесообразности. Расчет капитализации корпорации.</w:t>
      </w:r>
    </w:p>
    <w:p w:rsidR="00D51007" w:rsidRDefault="00D51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1007" w:rsidRDefault="00D51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1007" w:rsidRDefault="00D51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5.Методы оценки и фундаментального анализа акций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5.1. анализ денежных потоков и его основные элементы: чистые начальные инвестиции; чистые операционные денежные потоки; терминальный (конечный) денежный поток. Дисконтированный денежный поток (DCF).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анализ отчета о прибылях и убытках. Основные финансовые показатели  деятельности корпорации и их расчет (выручка; валовая прибыль; прибыль до амортизации и выплаты процентов и налогов (EBIT); прибыль до выплаты процентов и налогов (EBIT); прибыль до выплаты налогов (EBT); чистая прибыль (EAT); чистая прибыль на акцию (</w:t>
      </w:r>
      <w:r>
        <w:rPr>
          <w:rFonts w:ascii="Times New Roman" w:hAnsi="Times New Roman" w:cs="Times New Roman"/>
          <w:sz w:val="24"/>
          <w:szCs w:val="24"/>
          <w:lang w:val="en-US"/>
        </w:rPr>
        <w:t>EPS</w:t>
      </w:r>
      <w:r>
        <w:rPr>
          <w:rFonts w:ascii="Times New Roman" w:hAnsi="Times New Roman" w:cs="Times New Roman"/>
          <w:sz w:val="24"/>
          <w:szCs w:val="24"/>
        </w:rPr>
        <w:t>); доходность собственного капитала (ROE)). Расчет соотношений капитализации и финансовых показателей корпорации.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модели оценки обыкновенных акций (модель дисконтирования дивидендов и модель дисконтированных денежных потоков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CF)).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факторы, принимаемые во внимании при анализе перспектив корпорации. Анализ отрасли. Построение прогнозного показателя денежных потоков. Акции роста и акции стоимости.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показатели относительной ценности и их использования при выборе акций для инвестирования. Коэффициент цена/прибыль (P/E). Коэффициент цена/балансовая стоимость (P/B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). Коэффициент цена/денежный поток (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CF</w:t>
      </w:r>
      <w:r>
        <w:rPr>
          <w:rFonts w:ascii="Times New Roman" w:hAnsi="Times New Roman" w:cs="Times New Roman"/>
          <w:sz w:val="24"/>
          <w:szCs w:val="24"/>
        </w:rPr>
        <w:t>). Коэффициент цена/продажи (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«новые» мультипликаторы и их использование для оценки инвестиционной привлекательности акции. Коэффициент «стоимость бизнеса/прибыль от реализации» (EV/EBITDA). Мультипликатор «стоимость бизнеса/выручка» (EV/S).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мультипликаторы, характеризующие оценку компаний по натуральным показателям:  «стоимость бизнеса/производство» (EV/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>
        <w:rPr>
          <w:rFonts w:ascii="Times New Roman" w:hAnsi="Times New Roman" w:cs="Times New Roman"/>
          <w:sz w:val="24"/>
          <w:szCs w:val="24"/>
        </w:rPr>
        <w:t>); «стоимость бизнеса/мощность» (EV/</w:t>
      </w:r>
      <w:proofErr w:type="spellStart"/>
      <w:r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>
        <w:rPr>
          <w:rFonts w:ascii="Times New Roman" w:hAnsi="Times New Roman" w:cs="Times New Roman"/>
          <w:sz w:val="24"/>
          <w:szCs w:val="24"/>
        </w:rPr>
        <w:t>), соотношения «капитализация/объем запасов» и «капитализация/объ</w:t>
      </w:r>
      <w:r w:rsidRPr="00427CAD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м добычи»; «капитализация/количество телефонных линий» для связи; «капитализация/объем установленной мощности в мегаваттах» и т. п. Их применимость для оценки различных компаний и отраслей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 целевая цена; формирование прогноза будущего движения курса акции и рекомендаций на совершение операций с акциями. Основные оценки и рекомендации.</w:t>
      </w: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6. Оценка и анализ ценных бумаг с фиксированным доходом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виды долговых финансовых инструментов (облигации федерального займа; корпоративные, муниципальные и субфедеральные облигации и др.)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формы доходов по долговым инструментам (купонный процент; дисконт)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6.3. основные показатели оценки долговых финансовых инструментов (теоретический курс; доходность к погашению, текущая доходность и др.)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оценка бескупонных облигаций.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оценка облигаций с выплатой купона в момент погашения.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оценка облигаций с фиксированным купоном.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оценка облигаций с переменным купоном.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расчет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дюрации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. Оценка изменения курса облигации при изменении ставок процента. Проблема иммунизации.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 кривые доходности. Выбор срока размещения ресурсов исходя из известной кривой доходности. </w:t>
      </w: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7. Основные характеристики инструментов коллективных инвестиций (включая ETF)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виды институтов коллективных инвестиций (НПФ; ОПИФ; ИПИФ; ЗПИФ; БПИФ; </w:t>
      </w:r>
      <w:r>
        <w:rPr>
          <w:rFonts w:ascii="Times New Roman" w:hAnsi="Times New Roman" w:cs="Times New Roman"/>
          <w:sz w:val="24"/>
          <w:szCs w:val="24"/>
          <w:lang w:val="en-US"/>
        </w:rPr>
        <w:t>ETF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ПИФ как имущественный комплекс. Функции управляющей компании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спецдепозитария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Классификации ПИФ по стилю инвестирования; охвату классов активов и уровню риска. Требования к структуре портфелей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ПИФов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различных типов.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характеристики пая ПИФ. Выдача и погашение паев; покупка и продажа паев на бирже. Сравнение эффективности операций выкупа/погашения паев и покупки/продажи паев на бирже.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акции иностранного биржевого инвестиционного фонда (ETF). Характеристики </w:t>
      </w:r>
      <w:r>
        <w:rPr>
          <w:rFonts w:ascii="Times New Roman" w:hAnsi="Times New Roman" w:cs="Times New Roman"/>
          <w:sz w:val="24"/>
          <w:szCs w:val="24"/>
          <w:lang w:val="en-US"/>
        </w:rPr>
        <w:t>ETF</w:t>
      </w:r>
      <w:r>
        <w:rPr>
          <w:rFonts w:ascii="Times New Roman" w:hAnsi="Times New Roman" w:cs="Times New Roman"/>
          <w:sz w:val="24"/>
          <w:szCs w:val="24"/>
        </w:rPr>
        <w:t xml:space="preserve"> (базисный индекс; администратор;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кастодиан</w:t>
      </w:r>
      <w:proofErr w:type="spellEnd"/>
      <w:r>
        <w:rPr>
          <w:rFonts w:ascii="Times New Roman" w:hAnsi="Times New Roman" w:cs="Times New Roman"/>
          <w:sz w:val="24"/>
          <w:szCs w:val="24"/>
        </w:rPr>
        <w:t>; управляющий (инвестиционный менеджер); леверидж; прямой/обратный фонд).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 оценка стоимости чистых активов. Расчет стоимости пая/акции инвестиционных фондов.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7.6. оценка чистой доходности инвестирования в инструменты коллективных инвестиций.</w:t>
      </w:r>
    </w:p>
    <w:p w:rsidR="00D51007" w:rsidRDefault="00D51007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8. Основные характеристики ПФИ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наиболее распространенные в России виды ПФИ (фьючерсы; опционы), их правовая природа. Опционы-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опционы-пут.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использование ПФИ для хеджирования и спекуляции.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8.3. параметры ПФИ: гарантийное обеспечение; вариационная маржа; премия по опционам; страйк-цена опциона; сроки обращения и исполнения; шаг цены и др. Расчет вариационной маржи.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теоретическая цена фьючерса для разных секторов рынка (фьючерс на фондовый индекс; фьючерс на акцию; процентный фьючерс; фьючерс на товар).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внутренняя стоимость опционов-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опционов-пут. Точка безубыточности. Опционы «в деньгах» и опционы «вне денег».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основные стратегии использования опционов и их возможные результаты в зависимости от движения рынка.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 упрощенные оценки цены опциона (премии) на акцию. Границы цен опционов. Теорема паритета опционов пут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9. Виды структурных продуктов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сущность структурного продукта и его основные типы (защита капитала; участие в доходе; повышенная доходность; леверидж; кредитный риск). Полная, частичная и условная защита капитала.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риски структурного продукта. Особенность кредитных нот.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Основные барьерные условия (барьер выплаты купона/номинала; барьер отзыва (погашения); барьер физической поставки (или выплаты денег); барьер замедления/ускорения стоимости инструмента) и возможности их изменения.</w:t>
      </w:r>
    </w:p>
    <w:p w:rsidR="00D51007" w:rsidRPr="00427CAD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Классификации структурных продуктов (биржевые/внебиржевые; по защите капитала; по формам выплаты дохода; по виду выпущенного инструмента; по кругу приобретателей). Классификация структурных продуктов в соответствии с </w:t>
      </w:r>
      <w:r>
        <w:rPr>
          <w:rFonts w:ascii="Times New Roman" w:hAnsi="Times New Roman" w:cs="Times New Roman"/>
          <w:sz w:val="24"/>
          <w:szCs w:val="24"/>
          <w:lang w:val="en-US"/>
        </w:rPr>
        <w:t>EUSIPA</w:t>
      </w:r>
      <w:r w:rsidRPr="00427CAD">
        <w:rPr>
          <w:rFonts w:ascii="Times New Roman" w:hAnsi="Times New Roman" w:cs="Times New Roman"/>
          <w:sz w:val="24"/>
          <w:szCs w:val="24"/>
        </w:rPr>
        <w:t>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9.5. Структурная облигация. Основные законодательные требования к структурным облигациям, их эмитентам и владельцам в России.</w:t>
      </w:r>
    </w:p>
    <w:p w:rsidR="00D51007" w:rsidRDefault="00427CA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10. Управление портфелем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 Современная теория портфеля – основные сведения (концепция «риск-доходность»; гипотеза эффективного рынка). Показатели дисперсии доходности в качестве оценки рыночного риска.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Пассивное и активное управление портфелем.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 Диверсификация. Общий риск портфеля и его разложение на систематический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недиверсифицируемый</w:t>
      </w:r>
      <w:proofErr w:type="spellEnd"/>
      <w:r>
        <w:rPr>
          <w:rFonts w:ascii="Times New Roman" w:hAnsi="Times New Roman" w:cs="Times New Roman"/>
          <w:sz w:val="24"/>
          <w:szCs w:val="24"/>
        </w:rPr>
        <w:t>) и уникальный (диверсифицируемый) риски. Коэффициент «бета».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10.4. Модель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Марковица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Допустимое множество и эффективное множество (эффективная граница).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10.5. Формирование портфеля на основе инвестиционных целей и предпочтений конкретного инвестора. Толерантность к риску. Кривые безразличия и функции полезности. Оптимальный портфель.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10.6. Линия рынка капитала и линия рынка ценных бумаг (CML и </w:t>
      </w:r>
      <w:r>
        <w:rPr>
          <w:rFonts w:ascii="Times New Roman" w:hAnsi="Times New Roman" w:cs="Times New Roman"/>
          <w:sz w:val="24"/>
          <w:szCs w:val="24"/>
          <w:lang w:val="en-US"/>
        </w:rPr>
        <w:t>SML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10.7. Переоцененные и недооцененные акции. Коэффициент «альфа». Показатели оценки национальных рынков акций. Коэффициент Шиллера. Коэффициент Q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соотношение «капитализация/ВВП».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10.8. Размещение активов. Подходы «снизу вверх» и «сверху вниз».</w:t>
      </w:r>
    </w:p>
    <w:p w:rsidR="00D51007" w:rsidRDefault="00427C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10.9. Оценка эффективности управления портфелем. Коэффициент Шарпа. Коэффициент информации. Коэффициент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Трейнора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Коэффициент «альфа»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Дженсена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51007" w:rsidRDefault="00D510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100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CC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96D90"/>
    <w:multiLevelType w:val="multilevel"/>
    <w:tmpl w:val="17FED9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603B8A"/>
    <w:multiLevelType w:val="multilevel"/>
    <w:tmpl w:val="DBF6EF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F941F7E"/>
    <w:multiLevelType w:val="multilevel"/>
    <w:tmpl w:val="CFC8B78E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007"/>
    <w:rsid w:val="00033DE2"/>
    <w:rsid w:val="00427CAD"/>
    <w:rsid w:val="00C77682"/>
    <w:rsid w:val="00CA205E"/>
    <w:rsid w:val="00D5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9950"/>
  <w15:docId w15:val="{2D2226A7-1E09-4BAF-9ACF-738000E1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6F0FAB"/>
    <w:rPr>
      <w:rFonts w:ascii="Helvetica Neue" w:eastAsia="Arial Unicode MS" w:hAnsi="Helvetica Neue" w:cs="Arial Unicode MS"/>
      <w:color w:val="000000"/>
      <w:lang w:eastAsia="ru-RU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rsid w:val="006F0FAB"/>
    <w:rPr>
      <w:rFonts w:ascii="Helvetica Neue" w:eastAsia="Arial Unicode MS" w:hAnsi="Helvetica Neue" w:cs="Arial Unicode MS"/>
      <w:color w:val="000000"/>
      <w:lang w:eastAsia="ru-RU"/>
    </w:r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206574"/>
    <w:pPr>
      <w:ind w:left="720"/>
      <w:contextualSpacing/>
    </w:pPr>
  </w:style>
  <w:style w:type="table" w:styleId="aa">
    <w:name w:val="Table Grid"/>
    <w:basedOn w:val="a1"/>
    <w:uiPriority w:val="59"/>
    <w:rsid w:val="006F0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6</Pages>
  <Words>1621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dc:description/>
  <cp:lastModifiedBy>andreeva2</cp:lastModifiedBy>
  <cp:revision>13</cp:revision>
  <dcterms:created xsi:type="dcterms:W3CDTF">2022-08-15T12:08:00Z</dcterms:created>
  <dcterms:modified xsi:type="dcterms:W3CDTF">2023-06-13T09:44:00Z</dcterms:modified>
  <dc:language>ru-RU</dc:language>
</cp:coreProperties>
</file>