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84" w:rsidRDefault="00DF2584" w:rsidP="00DF2584">
      <w:pPr>
        <w:tabs>
          <w:tab w:val="left" w:pos="3069"/>
        </w:tabs>
        <w:spacing w:after="160" w:line="256" w:lineRule="auto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Приложение №5</w:t>
      </w:r>
    </w:p>
    <w:p w:rsidR="00DF2584" w:rsidRDefault="00DF2584" w:rsidP="00DF2584">
      <w:pPr>
        <w:tabs>
          <w:tab w:val="left" w:pos="3069"/>
        </w:tabs>
        <w:spacing w:after="160" w:line="256" w:lineRule="auto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к Стандартам НАУФОР </w:t>
      </w:r>
    </w:p>
    <w:p w:rsidR="00DF2584" w:rsidRDefault="00DF2584" w:rsidP="00DF2584">
      <w:pPr>
        <w:tabs>
          <w:tab w:val="left" w:pos="3069"/>
        </w:tabs>
        <w:spacing w:after="160" w:line="256" w:lineRule="auto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определения стоимости чистых активов </w:t>
      </w:r>
    </w:p>
    <w:p w:rsidR="00DF2584" w:rsidRDefault="00DF2584" w:rsidP="00DF2584">
      <w:pPr>
        <w:tabs>
          <w:tab w:val="left" w:pos="3069"/>
        </w:tabs>
        <w:spacing w:after="160" w:line="256" w:lineRule="auto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паевого инвестиционного фонда</w:t>
      </w:r>
    </w:p>
    <w:p w:rsidR="00DF2584" w:rsidRDefault="00DF2584" w:rsidP="00DF2584">
      <w:pPr>
        <w:tabs>
          <w:tab w:val="left" w:pos="3069"/>
        </w:tabs>
        <w:spacing w:after="160" w:line="256" w:lineRule="auto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и стоимости инвестиционного пая</w:t>
      </w:r>
    </w:p>
    <w:p w:rsidR="00DF2584" w:rsidRDefault="00DF2584" w:rsidP="00DF2584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 w:val="44"/>
          <w:szCs w:val="22"/>
          <w:lang w:eastAsia="en-US"/>
        </w:rPr>
      </w:pPr>
    </w:p>
    <w:p w:rsidR="00DF2584" w:rsidRDefault="00DF2584" w:rsidP="00DF2584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 w:val="44"/>
          <w:szCs w:val="22"/>
          <w:lang w:eastAsia="en-US"/>
        </w:rPr>
      </w:pPr>
    </w:p>
    <w:p w:rsidR="00DF2584" w:rsidRDefault="00DF2584" w:rsidP="00DF2584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 w:val="44"/>
          <w:szCs w:val="22"/>
          <w:lang w:eastAsia="en-US"/>
        </w:rPr>
      </w:pPr>
    </w:p>
    <w:p w:rsidR="00DF2584" w:rsidRDefault="00DF2584" w:rsidP="00DF2584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 w:val="44"/>
          <w:szCs w:val="22"/>
          <w:lang w:eastAsia="en-US"/>
        </w:rPr>
      </w:pPr>
    </w:p>
    <w:p w:rsidR="00DF2584" w:rsidRDefault="00DF2584" w:rsidP="00DF2584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 w:val="44"/>
          <w:szCs w:val="22"/>
          <w:lang w:eastAsia="en-US"/>
        </w:rPr>
      </w:pPr>
    </w:p>
    <w:p w:rsidR="00DF2584" w:rsidRPr="00B408B0" w:rsidRDefault="00DF2584" w:rsidP="00B408B0">
      <w:pPr>
        <w:tabs>
          <w:tab w:val="left" w:pos="3069"/>
        </w:tabs>
        <w:spacing w:after="160" w:line="256" w:lineRule="auto"/>
        <w:jc w:val="center"/>
        <w:rPr>
          <w:b/>
          <w:bCs/>
          <w:iCs/>
          <w:sz w:val="28"/>
          <w:szCs w:val="28"/>
        </w:rPr>
      </w:pPr>
      <w:r w:rsidRPr="00B408B0">
        <w:rPr>
          <w:rFonts w:eastAsia="Calibri"/>
          <w:b/>
          <w:sz w:val="28"/>
          <w:szCs w:val="28"/>
          <w:lang w:eastAsia="en-US"/>
        </w:rPr>
        <w:t xml:space="preserve">Методика </w:t>
      </w:r>
      <w:r w:rsidR="00B408B0" w:rsidRPr="00B408B0">
        <w:rPr>
          <w:rFonts w:eastAsia="Calibri"/>
          <w:b/>
          <w:sz w:val="28"/>
          <w:szCs w:val="28"/>
          <w:lang w:eastAsia="en-US"/>
        </w:rPr>
        <w:t>оценки кредитного риска контрагента</w:t>
      </w: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5B62DC" w:rsidRDefault="005B62DC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B408B0" w:rsidRDefault="00B408B0" w:rsidP="00B408B0">
      <w:pPr>
        <w:tabs>
          <w:tab w:val="left" w:pos="3069"/>
        </w:tabs>
        <w:spacing w:after="160" w:line="256" w:lineRule="auto"/>
        <w:jc w:val="center"/>
        <w:rPr>
          <w:rFonts w:eastAsia="Calibri"/>
          <w:b/>
          <w:szCs w:val="24"/>
          <w:lang w:eastAsia="en-US"/>
        </w:rPr>
      </w:pPr>
    </w:p>
    <w:p w:rsidR="003B4D3A" w:rsidRPr="005B62DC" w:rsidRDefault="00B408B0" w:rsidP="005B62DC">
      <w:pPr>
        <w:keepLines/>
        <w:numPr>
          <w:ilvl w:val="0"/>
          <w:numId w:val="1"/>
        </w:numPr>
        <w:spacing w:line="360" w:lineRule="auto"/>
        <w:ind w:left="0" w:firstLine="0"/>
        <w:jc w:val="center"/>
        <w:rPr>
          <w:b/>
          <w:szCs w:val="24"/>
        </w:rPr>
      </w:pPr>
      <w:r w:rsidRPr="005B62DC">
        <w:rPr>
          <w:b/>
          <w:szCs w:val="24"/>
        </w:rPr>
        <w:lastRenderedPageBreak/>
        <w:t>Цели и определения</w:t>
      </w:r>
    </w:p>
    <w:p w:rsidR="003B4D3A" w:rsidRPr="005B62DC" w:rsidRDefault="003B4D3A" w:rsidP="005B62DC">
      <w:pPr>
        <w:keepLines/>
        <w:spacing w:line="360" w:lineRule="auto"/>
        <w:ind w:left="-567" w:firstLine="567"/>
        <w:jc w:val="center"/>
        <w:rPr>
          <w:b/>
          <w:szCs w:val="24"/>
        </w:rPr>
      </w:pPr>
    </w:p>
    <w:p w:rsidR="003B4D3A" w:rsidRPr="005B62DC" w:rsidRDefault="003B4D3A" w:rsidP="005B62DC">
      <w:pPr>
        <w:autoSpaceDE w:val="0"/>
        <w:autoSpaceDN w:val="0"/>
        <w:spacing w:line="360" w:lineRule="auto"/>
        <w:ind w:left="-567" w:firstLine="567"/>
        <w:jc w:val="both"/>
        <w:rPr>
          <w:szCs w:val="24"/>
        </w:rPr>
      </w:pPr>
      <w:r w:rsidRPr="005B62DC">
        <w:rPr>
          <w:bCs/>
          <w:iCs/>
          <w:szCs w:val="24"/>
        </w:rPr>
        <w:t>Настоящ</w:t>
      </w:r>
      <w:r w:rsidR="00247694">
        <w:rPr>
          <w:bCs/>
          <w:iCs/>
          <w:szCs w:val="24"/>
        </w:rPr>
        <w:t>ая</w:t>
      </w:r>
      <w:r w:rsidRPr="005B62DC">
        <w:rPr>
          <w:bCs/>
          <w:iCs/>
          <w:szCs w:val="24"/>
        </w:rPr>
        <w:t xml:space="preserve"> </w:t>
      </w:r>
      <w:r w:rsidR="00BF0B31" w:rsidRPr="005B62DC">
        <w:rPr>
          <w:bCs/>
          <w:iCs/>
          <w:szCs w:val="24"/>
        </w:rPr>
        <w:t>методика служит для</w:t>
      </w:r>
      <w:r w:rsidRPr="005B62DC">
        <w:rPr>
          <w:bCs/>
          <w:iCs/>
          <w:szCs w:val="24"/>
        </w:rPr>
        <w:t xml:space="preserve"> оценки Кредитного риска контрагента</w:t>
      </w:r>
      <w:r w:rsidR="00D72619" w:rsidRPr="005B62DC">
        <w:rPr>
          <w:bCs/>
          <w:iCs/>
          <w:szCs w:val="24"/>
        </w:rPr>
        <w:t>, в том числе</w:t>
      </w:r>
      <w:r w:rsidRPr="005B62DC">
        <w:rPr>
          <w:bCs/>
          <w:iCs/>
          <w:szCs w:val="24"/>
        </w:rPr>
        <w:t xml:space="preserve"> при размещении денежных средств в депозиты и на счета с условием неснижаемого остатка</w:t>
      </w:r>
      <w:r w:rsidR="00D72619" w:rsidRPr="005B62DC">
        <w:rPr>
          <w:bCs/>
          <w:iCs/>
          <w:szCs w:val="24"/>
        </w:rPr>
        <w:t xml:space="preserve"> в кредитных организациях</w:t>
      </w:r>
      <w:r w:rsidRPr="005B62DC">
        <w:rPr>
          <w:bCs/>
          <w:iCs/>
          <w:szCs w:val="24"/>
        </w:rPr>
        <w:t>.</w:t>
      </w:r>
    </w:p>
    <w:p w:rsidR="003B4D3A" w:rsidRPr="005B62DC" w:rsidRDefault="003B4D3A" w:rsidP="005B62DC">
      <w:pPr>
        <w:autoSpaceDE w:val="0"/>
        <w:autoSpaceDN w:val="0"/>
        <w:spacing w:line="360" w:lineRule="auto"/>
        <w:ind w:left="-567" w:firstLine="567"/>
        <w:jc w:val="both"/>
        <w:rPr>
          <w:szCs w:val="24"/>
        </w:rPr>
      </w:pPr>
      <w:r w:rsidRPr="005B62DC">
        <w:rPr>
          <w:i/>
          <w:szCs w:val="24"/>
        </w:rPr>
        <w:t>Кредитный риск</w:t>
      </w:r>
      <w:r w:rsidRPr="005B62DC">
        <w:rPr>
          <w:szCs w:val="24"/>
        </w:rPr>
        <w:t xml:space="preserve"> – риск возникновения убытка вследствие неисполнения контрагентом обязательств по </w:t>
      </w:r>
      <w:r w:rsidRPr="005B62DC">
        <w:rPr>
          <w:bCs/>
          <w:i/>
          <w:iCs/>
          <w:szCs w:val="24"/>
        </w:rPr>
        <w:t>договору</w:t>
      </w:r>
      <w:r w:rsidRPr="005B62DC">
        <w:rPr>
          <w:szCs w:val="24"/>
        </w:rPr>
        <w:t>, а также неоплаты кон</w:t>
      </w:r>
      <w:r w:rsidR="00247694">
        <w:rPr>
          <w:szCs w:val="24"/>
        </w:rPr>
        <w:t>т</w:t>
      </w:r>
      <w:r w:rsidRPr="005B62DC">
        <w:rPr>
          <w:szCs w:val="24"/>
        </w:rPr>
        <w:t>рагентом основного долга и/или процентов, причитающихся в установленный договором срок.</w:t>
      </w:r>
    </w:p>
    <w:p w:rsidR="003B4D3A" w:rsidRPr="005B62DC" w:rsidRDefault="003B4D3A" w:rsidP="005B62DC">
      <w:pPr>
        <w:autoSpaceDE w:val="0"/>
        <w:autoSpaceDN w:val="0"/>
        <w:spacing w:line="360" w:lineRule="auto"/>
        <w:ind w:left="-567" w:firstLine="567"/>
        <w:jc w:val="both"/>
        <w:rPr>
          <w:szCs w:val="24"/>
        </w:rPr>
      </w:pPr>
      <w:r w:rsidRPr="005B62DC">
        <w:rPr>
          <w:bCs/>
          <w:i/>
          <w:iCs/>
          <w:szCs w:val="24"/>
        </w:rPr>
        <w:t xml:space="preserve">Кредитный рейтинг – </w:t>
      </w:r>
      <w:r w:rsidRPr="005B62DC">
        <w:rPr>
          <w:szCs w:val="24"/>
        </w:rPr>
        <w:t>мнение независимого рейтингового агентства о способности рейтингуемого лица исполнять принятые на себя финансовые обязательства (о его кредитоспособности, финансовой надежности, финансовой устойчивости), выраженным с использованием рейтинговой категории по определенной рейтинговой шкале. В целях применения настоящей методики используются рейтинги следующих рейтинговых агентств:</w:t>
      </w:r>
    </w:p>
    <w:p w:rsidR="003B4D3A" w:rsidRPr="005B62DC" w:rsidRDefault="003B4D3A" w:rsidP="005B62DC">
      <w:pPr>
        <w:pStyle w:val="a9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Cs w:val="24"/>
        </w:rPr>
      </w:pPr>
      <w:r w:rsidRPr="005B62DC">
        <w:rPr>
          <w:szCs w:val="24"/>
        </w:rPr>
        <w:t>Moody's Investors Service</w:t>
      </w:r>
    </w:p>
    <w:p w:rsidR="003B4D3A" w:rsidRPr="005B62DC" w:rsidRDefault="003B4D3A" w:rsidP="005B62DC">
      <w:pPr>
        <w:pStyle w:val="a9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Cs w:val="24"/>
        </w:rPr>
      </w:pPr>
      <w:r w:rsidRPr="005B62DC">
        <w:rPr>
          <w:szCs w:val="24"/>
        </w:rPr>
        <w:t>Standard &amp; Poor's</w:t>
      </w:r>
    </w:p>
    <w:p w:rsidR="003B4D3A" w:rsidRPr="005B62DC" w:rsidRDefault="003B4D3A" w:rsidP="005B62DC">
      <w:pPr>
        <w:pStyle w:val="a9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Cs w:val="24"/>
        </w:rPr>
      </w:pPr>
      <w:r w:rsidRPr="005B62DC">
        <w:rPr>
          <w:szCs w:val="24"/>
        </w:rPr>
        <w:t>Fitch Ratings</w:t>
      </w:r>
    </w:p>
    <w:p w:rsidR="003B4D3A" w:rsidRPr="005B62DC" w:rsidRDefault="00351F6F" w:rsidP="005B62DC">
      <w:pPr>
        <w:pStyle w:val="a9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Cs w:val="24"/>
        </w:rPr>
      </w:pPr>
      <w:r w:rsidRPr="005B62DC">
        <w:rPr>
          <w:szCs w:val="24"/>
        </w:rPr>
        <w:t>Аналитическое Кредитное Рейтинговое Агентство (</w:t>
      </w:r>
      <w:r w:rsidR="003B4D3A" w:rsidRPr="005B62DC">
        <w:rPr>
          <w:szCs w:val="24"/>
        </w:rPr>
        <w:t>АКРА</w:t>
      </w:r>
      <w:r w:rsidRPr="005B62DC">
        <w:rPr>
          <w:szCs w:val="24"/>
        </w:rPr>
        <w:t>)</w:t>
      </w:r>
    </w:p>
    <w:p w:rsidR="003B4D3A" w:rsidRPr="005B62DC" w:rsidRDefault="00351F6F" w:rsidP="005B62DC">
      <w:pPr>
        <w:pStyle w:val="a9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Cs w:val="24"/>
        </w:rPr>
      </w:pPr>
      <w:r w:rsidRPr="005B62DC">
        <w:rPr>
          <w:szCs w:val="24"/>
        </w:rPr>
        <w:t>Рейтинговое агентство RAEX («</w:t>
      </w:r>
      <w:r w:rsidR="003B4D3A" w:rsidRPr="005B62DC">
        <w:rPr>
          <w:szCs w:val="24"/>
        </w:rPr>
        <w:t>Эксперт РА</w:t>
      </w:r>
      <w:r w:rsidRPr="005B62DC">
        <w:rPr>
          <w:szCs w:val="24"/>
        </w:rPr>
        <w:t>»)</w:t>
      </w:r>
      <w:r w:rsidR="003B4D3A" w:rsidRPr="005B62DC">
        <w:rPr>
          <w:szCs w:val="24"/>
        </w:rPr>
        <w:t>.</w:t>
      </w:r>
    </w:p>
    <w:p w:rsidR="003B4D3A" w:rsidRPr="005B62DC" w:rsidRDefault="003B4D3A" w:rsidP="005B62DC">
      <w:pPr>
        <w:autoSpaceDE w:val="0"/>
        <w:autoSpaceDN w:val="0"/>
        <w:spacing w:line="360" w:lineRule="auto"/>
        <w:ind w:left="-567" w:firstLine="567"/>
        <w:jc w:val="both"/>
        <w:rPr>
          <w:szCs w:val="24"/>
        </w:rPr>
      </w:pPr>
      <w:r w:rsidRPr="005B62DC">
        <w:rPr>
          <w:i/>
          <w:szCs w:val="24"/>
        </w:rPr>
        <w:t>Дефолт</w:t>
      </w:r>
      <w:r w:rsidRPr="005B62DC">
        <w:rPr>
          <w:szCs w:val="24"/>
        </w:rPr>
        <w:t xml:space="preserve"> - под дефолтом понимается факт неисполнения финансового обязательства объектом рейтинга в срок и в полном объеме. Определение дефолта может дополнятся фактами неисполнения финансовых обязательств, сроками просрочки выплат по исполнению своих обязательств в зависимости от определения Рейтингового агентства и присваиваемого им Кредитного рейтинга.</w:t>
      </w:r>
    </w:p>
    <w:p w:rsidR="003B4D3A" w:rsidRPr="005B62DC" w:rsidRDefault="003B4D3A" w:rsidP="005B62DC">
      <w:pPr>
        <w:autoSpaceDE w:val="0"/>
        <w:autoSpaceDN w:val="0"/>
        <w:spacing w:line="360" w:lineRule="auto"/>
        <w:ind w:left="-567" w:firstLine="567"/>
        <w:jc w:val="both"/>
        <w:rPr>
          <w:szCs w:val="24"/>
        </w:rPr>
      </w:pPr>
      <w:r w:rsidRPr="005B62DC">
        <w:rPr>
          <w:i/>
          <w:szCs w:val="24"/>
        </w:rPr>
        <w:t>Вероятность дефолта (PD – Probability of Default)</w:t>
      </w:r>
      <w:r w:rsidRPr="005B62DC">
        <w:rPr>
          <w:szCs w:val="24"/>
        </w:rPr>
        <w:t xml:space="preserve"> – вероятность, с которой контрагент в течение некоторого срока может оказаться в состоянии дефолта.</w:t>
      </w:r>
    </w:p>
    <w:p w:rsidR="003B4D3A" w:rsidRPr="005B62DC" w:rsidRDefault="003B4D3A" w:rsidP="005B62DC">
      <w:pPr>
        <w:autoSpaceDE w:val="0"/>
        <w:autoSpaceDN w:val="0"/>
        <w:spacing w:line="360" w:lineRule="auto"/>
        <w:ind w:left="-567" w:firstLine="567"/>
        <w:jc w:val="both"/>
        <w:rPr>
          <w:szCs w:val="24"/>
        </w:rPr>
      </w:pPr>
      <w:r w:rsidRPr="005B62DC">
        <w:rPr>
          <w:i/>
          <w:szCs w:val="24"/>
        </w:rPr>
        <w:t>Потери при банкротстве (LGD – Loss Given Default)</w:t>
      </w:r>
      <w:r w:rsidRPr="005B62DC">
        <w:rPr>
          <w:szCs w:val="24"/>
        </w:rPr>
        <w:t xml:space="preserve"> – доля от суммы, подверженной кредитному риску, которая может быть потеряна в случае дефолта контрагента.</w:t>
      </w:r>
    </w:p>
    <w:p w:rsidR="003B4D3A" w:rsidRPr="005B62DC" w:rsidRDefault="003B4D3A" w:rsidP="005B62DC">
      <w:pPr>
        <w:autoSpaceDE w:val="0"/>
        <w:autoSpaceDN w:val="0"/>
        <w:spacing w:line="360" w:lineRule="auto"/>
        <w:ind w:left="-567" w:firstLine="567"/>
        <w:jc w:val="both"/>
        <w:rPr>
          <w:bCs/>
          <w:iCs/>
          <w:szCs w:val="24"/>
        </w:rPr>
      </w:pPr>
      <w:r w:rsidRPr="005B62DC">
        <w:rPr>
          <w:i/>
          <w:szCs w:val="24"/>
        </w:rPr>
        <w:t>Cумма, подверженная кредитному риску (EAD – Exposure at Default)</w:t>
      </w:r>
      <w:r w:rsidRPr="005B62DC">
        <w:rPr>
          <w:szCs w:val="24"/>
        </w:rPr>
        <w:t xml:space="preserve"> — общий объём обязательств контрагента перед компанией (</w:t>
      </w:r>
      <w:r w:rsidR="00D72619" w:rsidRPr="005B62DC">
        <w:rPr>
          <w:szCs w:val="24"/>
        </w:rPr>
        <w:t xml:space="preserve">например, </w:t>
      </w:r>
      <w:r w:rsidRPr="005B62DC">
        <w:rPr>
          <w:szCs w:val="24"/>
        </w:rPr>
        <w:t>сумма вложений в банковские вклады (депозиты) и неснижаемые остатки на расчетных счетах</w:t>
      </w:r>
      <w:r w:rsidR="00D72619" w:rsidRPr="005B62DC">
        <w:rPr>
          <w:szCs w:val="24"/>
        </w:rPr>
        <w:t>, сумма выданного займа</w:t>
      </w:r>
      <w:r w:rsidRPr="005B62DC">
        <w:rPr>
          <w:szCs w:val="24"/>
        </w:rPr>
        <w:t>)</w:t>
      </w:r>
      <w:r w:rsidRPr="005B62DC">
        <w:rPr>
          <w:bCs/>
          <w:i/>
          <w:iCs/>
          <w:szCs w:val="24"/>
        </w:rPr>
        <w:t>.</w:t>
      </w:r>
    </w:p>
    <w:p w:rsidR="003B4D3A" w:rsidRPr="005B62DC" w:rsidRDefault="003B4D3A" w:rsidP="005B62DC">
      <w:pPr>
        <w:spacing w:line="360" w:lineRule="auto"/>
        <w:ind w:firstLine="567"/>
        <w:jc w:val="both"/>
        <w:rPr>
          <w:szCs w:val="24"/>
        </w:rPr>
      </w:pPr>
    </w:p>
    <w:p w:rsidR="006614C1" w:rsidRPr="005B62DC" w:rsidRDefault="006614C1" w:rsidP="005B62DC">
      <w:pPr>
        <w:numPr>
          <w:ilvl w:val="0"/>
          <w:numId w:val="2"/>
        </w:numPr>
        <w:spacing w:line="360" w:lineRule="auto"/>
        <w:ind w:left="0" w:firstLine="0"/>
        <w:jc w:val="center"/>
        <w:rPr>
          <w:b/>
          <w:szCs w:val="24"/>
        </w:rPr>
      </w:pPr>
      <w:r w:rsidRPr="005B62DC">
        <w:rPr>
          <w:b/>
          <w:szCs w:val="24"/>
        </w:rPr>
        <w:t>Методика оценки</w:t>
      </w:r>
      <w:r w:rsidRPr="005B62DC">
        <w:rPr>
          <w:b/>
          <w:szCs w:val="24"/>
          <w:lang w:val="en-US"/>
        </w:rPr>
        <w:t xml:space="preserve"> </w:t>
      </w:r>
    </w:p>
    <w:p w:rsidR="003612BA" w:rsidRPr="005B62DC" w:rsidRDefault="00BF0B31" w:rsidP="005B62DC">
      <w:pPr>
        <w:spacing w:line="360" w:lineRule="auto"/>
        <w:ind w:firstLine="567"/>
        <w:jc w:val="both"/>
        <w:rPr>
          <w:szCs w:val="24"/>
        </w:rPr>
      </w:pPr>
      <w:r w:rsidRPr="005B62DC">
        <w:rPr>
          <w:szCs w:val="24"/>
        </w:rPr>
        <w:t xml:space="preserve">Оценка кредитного риска производится при помощи модели </w:t>
      </w:r>
      <w:r w:rsidR="003612BA" w:rsidRPr="005B62DC">
        <w:rPr>
          <w:szCs w:val="24"/>
        </w:rPr>
        <w:t xml:space="preserve">ожидаемых кредитных убытков (ECL). </w:t>
      </w:r>
    </w:p>
    <w:p w:rsidR="00351F6F" w:rsidRPr="005B62DC" w:rsidRDefault="003612BA" w:rsidP="005B62DC">
      <w:pPr>
        <w:spacing w:line="360" w:lineRule="auto"/>
        <w:ind w:firstLine="567"/>
        <w:jc w:val="center"/>
        <w:rPr>
          <w:b/>
          <w:szCs w:val="24"/>
          <w:lang w:val="en-US"/>
        </w:rPr>
      </w:pPr>
      <w:r w:rsidRPr="005B62DC">
        <w:rPr>
          <w:b/>
          <w:szCs w:val="24"/>
          <w:lang w:val="en-US"/>
        </w:rPr>
        <w:t xml:space="preserve">ECL = EAD * PD * </w:t>
      </w:r>
      <w:r w:rsidR="00351F6F" w:rsidRPr="005B62DC">
        <w:rPr>
          <w:b/>
          <w:szCs w:val="24"/>
          <w:lang w:val="en-US"/>
        </w:rPr>
        <w:t>LGD,</w:t>
      </w:r>
    </w:p>
    <w:p w:rsidR="00351F6F" w:rsidRPr="005B62DC" w:rsidRDefault="00351F6F" w:rsidP="005B62DC">
      <w:pPr>
        <w:spacing w:line="360" w:lineRule="auto"/>
        <w:ind w:firstLine="567"/>
        <w:jc w:val="both"/>
        <w:rPr>
          <w:i/>
          <w:szCs w:val="24"/>
          <w:lang w:val="en-US"/>
        </w:rPr>
      </w:pPr>
      <w:r w:rsidRPr="005B62DC">
        <w:rPr>
          <w:i/>
          <w:szCs w:val="24"/>
        </w:rPr>
        <w:lastRenderedPageBreak/>
        <w:t>где</w:t>
      </w:r>
      <w:r w:rsidRPr="005B62DC">
        <w:rPr>
          <w:i/>
          <w:szCs w:val="24"/>
          <w:lang w:val="en-US"/>
        </w:rPr>
        <w:t>:</w:t>
      </w:r>
    </w:p>
    <w:p w:rsidR="00351F6F" w:rsidRPr="005B62DC" w:rsidRDefault="00351F6F" w:rsidP="005B62DC">
      <w:pPr>
        <w:spacing w:line="360" w:lineRule="auto"/>
        <w:ind w:firstLine="567"/>
        <w:jc w:val="both"/>
        <w:rPr>
          <w:szCs w:val="24"/>
        </w:rPr>
      </w:pPr>
      <w:r w:rsidRPr="005B62DC">
        <w:rPr>
          <w:szCs w:val="24"/>
        </w:rPr>
        <w:t xml:space="preserve">ECL (expected credit losses) – величина кредитных убытков, корректирующая </w:t>
      </w:r>
      <w:r w:rsidR="00BF0B31" w:rsidRPr="005B62DC">
        <w:rPr>
          <w:szCs w:val="24"/>
        </w:rPr>
        <w:t>денежные потоки</w:t>
      </w:r>
      <w:r w:rsidRPr="005B62DC">
        <w:rPr>
          <w:szCs w:val="24"/>
        </w:rPr>
        <w:t>.</w:t>
      </w:r>
    </w:p>
    <w:p w:rsidR="00351F6F" w:rsidRPr="005B62DC" w:rsidRDefault="00351F6F" w:rsidP="005B62DC">
      <w:pPr>
        <w:spacing w:line="360" w:lineRule="auto"/>
        <w:ind w:firstLine="567"/>
        <w:jc w:val="both"/>
        <w:rPr>
          <w:szCs w:val="24"/>
        </w:rPr>
      </w:pPr>
    </w:p>
    <w:p w:rsidR="00351F6F" w:rsidRPr="005B62DC" w:rsidRDefault="00351F6F" w:rsidP="005B62DC">
      <w:pPr>
        <w:spacing w:line="360" w:lineRule="auto"/>
        <w:ind w:firstLine="567"/>
        <w:jc w:val="both"/>
        <w:rPr>
          <w:szCs w:val="24"/>
        </w:rPr>
      </w:pPr>
      <w:r w:rsidRPr="005B62DC">
        <w:rPr>
          <w:szCs w:val="24"/>
        </w:rPr>
        <w:t>Потери при банкротстве (LGD) определяются следующим образом:</w:t>
      </w:r>
    </w:p>
    <w:p w:rsidR="00351F6F" w:rsidRPr="005B62DC" w:rsidRDefault="00351F6F" w:rsidP="005B62DC">
      <w:pPr>
        <w:spacing w:line="360" w:lineRule="auto"/>
        <w:ind w:firstLine="567"/>
        <w:jc w:val="both"/>
        <w:rPr>
          <w:szCs w:val="24"/>
        </w:rPr>
      </w:pPr>
    </w:p>
    <w:p w:rsidR="00351F6F" w:rsidRPr="005B62DC" w:rsidRDefault="00351F6F" w:rsidP="005B62DC">
      <w:pPr>
        <w:spacing w:line="360" w:lineRule="auto"/>
        <w:jc w:val="center"/>
        <w:rPr>
          <w:b/>
          <w:szCs w:val="24"/>
        </w:rPr>
      </w:pPr>
      <w:r w:rsidRPr="005B62DC">
        <w:rPr>
          <w:b/>
          <w:szCs w:val="24"/>
        </w:rPr>
        <w:t>LGD=1-</w:t>
      </w:r>
      <w:r w:rsidRPr="005B62DC">
        <w:rPr>
          <w:b/>
          <w:szCs w:val="24"/>
          <w:lang w:val="en-US"/>
        </w:rPr>
        <w:t>RC</w:t>
      </w:r>
      <w:r w:rsidRPr="005B62DC">
        <w:rPr>
          <w:b/>
          <w:szCs w:val="24"/>
        </w:rPr>
        <w:t>,</w:t>
      </w:r>
    </w:p>
    <w:p w:rsidR="00351F6F" w:rsidRPr="005B62DC" w:rsidRDefault="00351F6F" w:rsidP="005B62DC">
      <w:pPr>
        <w:spacing w:line="360" w:lineRule="auto"/>
        <w:jc w:val="both"/>
        <w:rPr>
          <w:i/>
          <w:szCs w:val="24"/>
        </w:rPr>
      </w:pPr>
      <w:r w:rsidRPr="005B62DC">
        <w:rPr>
          <w:i/>
          <w:szCs w:val="24"/>
        </w:rPr>
        <w:t>где:</w:t>
      </w:r>
    </w:p>
    <w:p w:rsidR="003612BA" w:rsidRPr="005B62DC" w:rsidRDefault="00351F6F" w:rsidP="005B62DC">
      <w:pPr>
        <w:spacing w:line="360" w:lineRule="auto"/>
        <w:ind w:firstLine="567"/>
        <w:jc w:val="both"/>
        <w:rPr>
          <w:szCs w:val="24"/>
        </w:rPr>
      </w:pPr>
      <w:r w:rsidRPr="005B62DC">
        <w:rPr>
          <w:szCs w:val="24"/>
        </w:rPr>
        <w:t xml:space="preserve"> </w:t>
      </w:r>
      <w:r w:rsidR="003612BA" w:rsidRPr="005B62DC">
        <w:rPr>
          <w:szCs w:val="24"/>
        </w:rPr>
        <w:t>RC (recovery rate) – ожидаемый процент возврата по просроченн</w:t>
      </w:r>
      <w:r w:rsidRPr="005B62DC">
        <w:rPr>
          <w:szCs w:val="24"/>
        </w:rPr>
        <w:t>ым</w:t>
      </w:r>
      <w:r w:rsidR="003612BA" w:rsidRPr="005B62DC">
        <w:rPr>
          <w:szCs w:val="24"/>
        </w:rPr>
        <w:t xml:space="preserve"> </w:t>
      </w:r>
      <w:r w:rsidRPr="005B62DC">
        <w:rPr>
          <w:szCs w:val="24"/>
        </w:rPr>
        <w:t>выплатам</w:t>
      </w:r>
      <w:r w:rsidR="003612BA" w:rsidRPr="005B62DC">
        <w:rPr>
          <w:szCs w:val="24"/>
        </w:rPr>
        <w:t>.</w:t>
      </w:r>
    </w:p>
    <w:p w:rsidR="00351F6F" w:rsidRPr="005B62DC" w:rsidRDefault="00351F6F" w:rsidP="005B62DC">
      <w:pPr>
        <w:spacing w:line="360" w:lineRule="auto"/>
        <w:rPr>
          <w:szCs w:val="24"/>
        </w:rPr>
      </w:pPr>
    </w:p>
    <w:p w:rsidR="00247694" w:rsidRPr="00247694" w:rsidRDefault="00247694" w:rsidP="00247694">
      <w:pPr>
        <w:spacing w:line="360" w:lineRule="auto"/>
        <w:ind w:firstLine="567"/>
        <w:jc w:val="both"/>
        <w:rPr>
          <w:szCs w:val="24"/>
        </w:rPr>
      </w:pPr>
      <w:r w:rsidRPr="00247694">
        <w:rPr>
          <w:szCs w:val="24"/>
        </w:rPr>
        <w:t>Вероятность дефолта контрагента на горизонте 1 год и потери при банкротстве оцениваются на основании публичных доступных данных по вероятностям дефолта одного из международный рейтинговых агентств - Moody's Investors Servic, SnP или Fitch, публикуемых на сайте агентства в составе ежегодного отчета. Вероятность дефолта на иные сроки или в случае отсутствия рейтинга может оценивается организацией самостоятельно (например, пропорционально сроку или по модельному распределению).</w:t>
      </w:r>
    </w:p>
    <w:p w:rsidR="00BF0B31" w:rsidRPr="005B62DC" w:rsidRDefault="00247694" w:rsidP="00247694">
      <w:pPr>
        <w:spacing w:line="360" w:lineRule="auto"/>
        <w:ind w:firstLine="567"/>
        <w:jc w:val="both"/>
        <w:rPr>
          <w:szCs w:val="24"/>
        </w:rPr>
      </w:pPr>
      <w:r w:rsidRPr="00247694">
        <w:rPr>
          <w:szCs w:val="24"/>
        </w:rPr>
        <w:t xml:space="preserve"> </w:t>
      </w:r>
    </w:p>
    <w:p w:rsidR="003A0024" w:rsidRPr="005B62DC" w:rsidRDefault="003A0024" w:rsidP="005B62DC">
      <w:pPr>
        <w:spacing w:line="360" w:lineRule="auto"/>
        <w:ind w:firstLine="567"/>
        <w:jc w:val="both"/>
        <w:rPr>
          <w:szCs w:val="24"/>
        </w:rPr>
      </w:pPr>
      <w:r w:rsidRPr="005B62DC">
        <w:rPr>
          <w:szCs w:val="24"/>
        </w:rPr>
        <w:t>Справедливая стоимость принимается равной стоимости</w:t>
      </w:r>
      <w:r w:rsidR="00C97CBC" w:rsidRPr="005B62DC">
        <w:rPr>
          <w:szCs w:val="24"/>
        </w:rPr>
        <w:t xml:space="preserve">, определенной в </w:t>
      </w:r>
      <w:bookmarkStart w:id="0" w:name="_GoBack"/>
      <w:bookmarkEnd w:id="0"/>
      <w:r w:rsidR="00C97CBC" w:rsidRPr="005B62DC">
        <w:rPr>
          <w:szCs w:val="24"/>
        </w:rPr>
        <w:t>соответствии с методом оценки согласно Правилам СЧА,</w:t>
      </w:r>
      <w:r w:rsidRPr="005B62DC">
        <w:rPr>
          <w:szCs w:val="24"/>
        </w:rPr>
        <w:t xml:space="preserve"> за вычетом </w:t>
      </w:r>
      <w:r w:rsidRPr="005B62DC">
        <w:rPr>
          <w:szCs w:val="24"/>
          <w:lang w:val="en-US"/>
        </w:rPr>
        <w:t>ECL</w:t>
      </w:r>
      <w:r w:rsidRPr="005B62DC">
        <w:rPr>
          <w:szCs w:val="24"/>
        </w:rPr>
        <w:t>.</w:t>
      </w:r>
    </w:p>
    <w:p w:rsidR="00ED7BEE" w:rsidRPr="005B62DC" w:rsidRDefault="00BF0B31" w:rsidP="005B62DC">
      <w:pPr>
        <w:spacing w:line="360" w:lineRule="auto"/>
        <w:ind w:firstLine="567"/>
        <w:jc w:val="both"/>
        <w:rPr>
          <w:szCs w:val="24"/>
        </w:rPr>
      </w:pPr>
      <w:r w:rsidRPr="005B62DC">
        <w:rPr>
          <w:szCs w:val="24"/>
        </w:rPr>
        <w:t xml:space="preserve">В случае наличия у </w:t>
      </w:r>
      <w:r w:rsidR="00DF3DF2" w:rsidRPr="005B62DC">
        <w:rPr>
          <w:szCs w:val="24"/>
        </w:rPr>
        <w:t>контрагента</w:t>
      </w:r>
      <w:r w:rsidRPr="005B62DC">
        <w:rPr>
          <w:szCs w:val="24"/>
        </w:rPr>
        <w:t xml:space="preserve"> рейтинга иного рейтингового агентства в целях определения </w:t>
      </w:r>
      <w:r w:rsidR="00B906DA" w:rsidRPr="005B62DC">
        <w:rPr>
          <w:szCs w:val="24"/>
        </w:rPr>
        <w:t>уровня рейтинга</w:t>
      </w:r>
      <w:r w:rsidR="00ED7BEE" w:rsidRPr="005B62DC">
        <w:rPr>
          <w:szCs w:val="24"/>
        </w:rPr>
        <w:t xml:space="preserve"> можно использовать следующие способы:</w:t>
      </w:r>
    </w:p>
    <w:p w:rsidR="00BF0B31" w:rsidRPr="005B62DC" w:rsidRDefault="00BF0B31" w:rsidP="005B62DC">
      <w:pPr>
        <w:pStyle w:val="a9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5B62DC">
        <w:rPr>
          <w:szCs w:val="24"/>
        </w:rPr>
        <w:t>п</w:t>
      </w:r>
      <w:r w:rsidR="00ED7BEE" w:rsidRPr="005B62DC">
        <w:rPr>
          <w:szCs w:val="24"/>
        </w:rPr>
        <w:t>о</w:t>
      </w:r>
      <w:r w:rsidRPr="005B62DC">
        <w:rPr>
          <w:szCs w:val="24"/>
        </w:rPr>
        <w:t xml:space="preserve"> таблиц</w:t>
      </w:r>
      <w:r w:rsidR="00ED7BEE" w:rsidRPr="005B62DC">
        <w:rPr>
          <w:szCs w:val="24"/>
        </w:rPr>
        <w:t>е</w:t>
      </w:r>
      <w:r w:rsidRPr="005B62DC">
        <w:rPr>
          <w:szCs w:val="24"/>
        </w:rPr>
        <w:t xml:space="preserve"> соответствия </w:t>
      </w:r>
      <w:r w:rsidR="00B906DA" w:rsidRPr="005B62DC">
        <w:rPr>
          <w:szCs w:val="24"/>
        </w:rPr>
        <w:t>уровней</w:t>
      </w:r>
      <w:r w:rsidR="00446C6E" w:rsidRPr="005B62DC">
        <w:rPr>
          <w:szCs w:val="24"/>
        </w:rPr>
        <w:t xml:space="preserve"> рейтингов (</w:t>
      </w:r>
      <w:r w:rsidR="00F90AD4" w:rsidRPr="005B62DC">
        <w:rPr>
          <w:szCs w:val="24"/>
        </w:rPr>
        <w:t xml:space="preserve">Таблица </w:t>
      </w:r>
      <w:r w:rsidR="00446C6E" w:rsidRPr="005B62DC">
        <w:rPr>
          <w:szCs w:val="24"/>
        </w:rPr>
        <w:t>1</w:t>
      </w:r>
      <w:r w:rsidRPr="005B62DC">
        <w:rPr>
          <w:szCs w:val="24"/>
        </w:rPr>
        <w:t>)</w:t>
      </w:r>
      <w:r w:rsidR="00ED7BEE" w:rsidRPr="005B62DC">
        <w:rPr>
          <w:szCs w:val="24"/>
        </w:rPr>
        <w:t>;</w:t>
      </w:r>
    </w:p>
    <w:p w:rsidR="00ED7BEE" w:rsidRPr="005B62DC" w:rsidRDefault="00ED7BEE" w:rsidP="005B62DC">
      <w:pPr>
        <w:pStyle w:val="a9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5B62DC">
        <w:rPr>
          <w:szCs w:val="24"/>
        </w:rPr>
        <w:t xml:space="preserve">по оценке соответствия </w:t>
      </w:r>
      <w:r w:rsidR="00B906DA" w:rsidRPr="005B62DC">
        <w:rPr>
          <w:szCs w:val="24"/>
        </w:rPr>
        <w:t>уровню рейтинга</w:t>
      </w:r>
      <w:r w:rsidR="00DE11CF" w:rsidRPr="005B62DC">
        <w:rPr>
          <w:szCs w:val="24"/>
        </w:rPr>
        <w:t xml:space="preserve"> через кредитный спр</w:t>
      </w:r>
      <w:r w:rsidR="003A0024" w:rsidRPr="005B62DC">
        <w:rPr>
          <w:szCs w:val="24"/>
        </w:rPr>
        <w:t>э</w:t>
      </w:r>
      <w:r w:rsidR="00DE11CF" w:rsidRPr="005B62DC">
        <w:rPr>
          <w:szCs w:val="24"/>
        </w:rPr>
        <w:t xml:space="preserve">д </w:t>
      </w:r>
      <w:r w:rsidRPr="005B62DC">
        <w:rPr>
          <w:szCs w:val="24"/>
        </w:rPr>
        <w:t>облигаций данно</w:t>
      </w:r>
      <w:r w:rsidR="00DF3DF2" w:rsidRPr="005B62DC">
        <w:rPr>
          <w:szCs w:val="24"/>
        </w:rPr>
        <w:t>го</w:t>
      </w:r>
      <w:r w:rsidRPr="005B62DC">
        <w:rPr>
          <w:szCs w:val="24"/>
        </w:rPr>
        <w:t xml:space="preserve"> </w:t>
      </w:r>
      <w:r w:rsidR="00DF3DF2" w:rsidRPr="005B62DC">
        <w:rPr>
          <w:szCs w:val="24"/>
        </w:rPr>
        <w:t xml:space="preserve"> контрагента</w:t>
      </w:r>
      <w:r w:rsidRPr="005B62DC">
        <w:rPr>
          <w:szCs w:val="24"/>
        </w:rPr>
        <w:t xml:space="preserve"> (Приложение </w:t>
      </w:r>
      <w:r w:rsidR="00F90AD4" w:rsidRPr="005B62DC">
        <w:rPr>
          <w:szCs w:val="24"/>
        </w:rPr>
        <w:t>1</w:t>
      </w:r>
      <w:r w:rsidRPr="005B62DC">
        <w:rPr>
          <w:szCs w:val="24"/>
        </w:rPr>
        <w:t xml:space="preserve">). </w:t>
      </w:r>
      <w:r w:rsidR="00FC1257" w:rsidRPr="005B62DC">
        <w:rPr>
          <w:szCs w:val="24"/>
        </w:rPr>
        <w:t>При этом необходимо выбрать, какой из трех уровней рейтингов используется для определения вероятности дефолта: минимальный, средний или максимальный в каждой группе.</w:t>
      </w:r>
      <w:r w:rsidR="00A24243" w:rsidRPr="005B62DC">
        <w:rPr>
          <w:szCs w:val="24"/>
        </w:rPr>
        <w:t xml:space="preserve"> Организация может применять собственные методики определения точного значения рейтинга через кредитный спрэд.</w:t>
      </w:r>
    </w:p>
    <w:p w:rsidR="003612BA" w:rsidRPr="005B62DC" w:rsidRDefault="003612BA" w:rsidP="005B62DC">
      <w:pPr>
        <w:spacing w:line="360" w:lineRule="auto"/>
        <w:rPr>
          <w:szCs w:val="24"/>
        </w:rPr>
      </w:pPr>
    </w:p>
    <w:p w:rsidR="00F90AD4" w:rsidRPr="005B62DC" w:rsidRDefault="003612BA" w:rsidP="005B62DC">
      <w:pPr>
        <w:spacing w:line="360" w:lineRule="auto"/>
        <w:ind w:firstLine="567"/>
        <w:jc w:val="both"/>
        <w:rPr>
          <w:szCs w:val="24"/>
        </w:rPr>
      </w:pPr>
      <w:r w:rsidRPr="005B62DC">
        <w:rPr>
          <w:szCs w:val="24"/>
        </w:rPr>
        <w:t>В случае отсутствия рейтинга у компании PD</w:t>
      </w:r>
      <w:r w:rsidR="00F90AD4" w:rsidRPr="005B62DC">
        <w:rPr>
          <w:szCs w:val="24"/>
        </w:rPr>
        <w:t>:</w:t>
      </w:r>
    </w:p>
    <w:p w:rsidR="002859D4" w:rsidRPr="005B62DC" w:rsidRDefault="005E0D7F" w:rsidP="005B62DC">
      <w:pPr>
        <w:pStyle w:val="a9"/>
        <w:numPr>
          <w:ilvl w:val="0"/>
          <w:numId w:val="9"/>
        </w:numPr>
        <w:spacing w:line="360" w:lineRule="auto"/>
        <w:ind w:firstLine="567"/>
        <w:jc w:val="both"/>
        <w:rPr>
          <w:szCs w:val="24"/>
        </w:rPr>
      </w:pPr>
      <w:r w:rsidRPr="005B62DC">
        <w:rPr>
          <w:szCs w:val="24"/>
        </w:rPr>
        <w:t xml:space="preserve"> определяется </w:t>
      </w:r>
      <w:r w:rsidR="003612BA" w:rsidRPr="005B62DC">
        <w:rPr>
          <w:szCs w:val="24"/>
        </w:rPr>
        <w:t>равным</w:t>
      </w:r>
      <w:r w:rsidR="00ED7BEE" w:rsidRPr="005B62DC">
        <w:rPr>
          <w:szCs w:val="24"/>
        </w:rPr>
        <w:t xml:space="preserve"> вероятности дефолта для компаний </w:t>
      </w:r>
      <w:r w:rsidR="00C53584" w:rsidRPr="005B62DC">
        <w:rPr>
          <w:szCs w:val="24"/>
        </w:rPr>
        <w:t>категории «</w:t>
      </w:r>
      <w:r w:rsidR="003A0024" w:rsidRPr="005B62DC">
        <w:rPr>
          <w:szCs w:val="24"/>
        </w:rPr>
        <w:t xml:space="preserve">without rating, WR» </w:t>
      </w:r>
      <w:r w:rsidR="00ED7BEE" w:rsidRPr="005B62DC">
        <w:rPr>
          <w:szCs w:val="24"/>
        </w:rPr>
        <w:t>о данным международного рейтингового агентств Moody's Investors Service</w:t>
      </w:r>
      <w:r w:rsidR="003A0024" w:rsidRPr="005B62DC">
        <w:rPr>
          <w:szCs w:val="24"/>
        </w:rPr>
        <w:t xml:space="preserve"> или </w:t>
      </w:r>
      <w:r w:rsidR="003A0024" w:rsidRPr="005B62DC">
        <w:rPr>
          <w:szCs w:val="24"/>
          <w:lang w:val="en-US"/>
        </w:rPr>
        <w:t>Standard</w:t>
      </w:r>
      <w:r w:rsidR="003A0024" w:rsidRPr="005B62DC">
        <w:rPr>
          <w:szCs w:val="24"/>
        </w:rPr>
        <w:t xml:space="preserve"> </w:t>
      </w:r>
      <w:r w:rsidR="003A0024" w:rsidRPr="005B62DC">
        <w:rPr>
          <w:szCs w:val="24"/>
          <w:lang w:val="en-US"/>
        </w:rPr>
        <w:t>and</w:t>
      </w:r>
      <w:r w:rsidR="003A0024" w:rsidRPr="005B62DC">
        <w:rPr>
          <w:szCs w:val="24"/>
        </w:rPr>
        <w:t xml:space="preserve"> </w:t>
      </w:r>
      <w:r w:rsidR="003A0024" w:rsidRPr="005B62DC">
        <w:rPr>
          <w:szCs w:val="24"/>
          <w:lang w:val="en-US"/>
        </w:rPr>
        <w:t>Poors</w:t>
      </w:r>
      <w:r w:rsidR="00ED7BEE" w:rsidRPr="005B62DC">
        <w:rPr>
          <w:szCs w:val="24"/>
        </w:rPr>
        <w:t>, публикуемых на сайте агентств в составе ежегодного отчета</w:t>
      </w:r>
      <w:r w:rsidR="00F90AD4" w:rsidRPr="005B62DC">
        <w:rPr>
          <w:szCs w:val="24"/>
        </w:rPr>
        <w:t>;</w:t>
      </w:r>
    </w:p>
    <w:p w:rsidR="002859D4" w:rsidRPr="005B62DC" w:rsidRDefault="005E0D7F" w:rsidP="005B62DC">
      <w:pPr>
        <w:pStyle w:val="a9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5B62DC">
        <w:rPr>
          <w:szCs w:val="24"/>
        </w:rPr>
        <w:lastRenderedPageBreak/>
        <w:t>Управляющая компания определяет самостоятельно на основании доступной информации о наблюдаемом уровне дефолтов в прошлых периодах с применением подходов</w:t>
      </w:r>
      <w:r w:rsidR="00E565A0" w:rsidRPr="005B62DC">
        <w:rPr>
          <w:szCs w:val="24"/>
        </w:rPr>
        <w:t>/</w:t>
      </w:r>
      <w:r w:rsidRPr="005B62DC">
        <w:rPr>
          <w:szCs w:val="24"/>
        </w:rPr>
        <w:t>моделей, согласованных со Специализированным депозитарием</w:t>
      </w:r>
    </w:p>
    <w:p w:rsidR="008A23E0" w:rsidRPr="005B62DC" w:rsidRDefault="008A23E0" w:rsidP="005B62DC">
      <w:pPr>
        <w:spacing w:line="360" w:lineRule="auto"/>
        <w:ind w:firstLine="567"/>
        <w:jc w:val="both"/>
        <w:rPr>
          <w:szCs w:val="24"/>
        </w:rPr>
      </w:pPr>
    </w:p>
    <w:p w:rsidR="008A23E0" w:rsidRPr="005B62DC" w:rsidRDefault="00F90AD4" w:rsidP="005B62DC">
      <w:pPr>
        <w:spacing w:line="360" w:lineRule="auto"/>
        <w:jc w:val="both"/>
        <w:rPr>
          <w:b/>
          <w:szCs w:val="24"/>
        </w:rPr>
      </w:pPr>
      <w:r w:rsidRPr="005B62DC">
        <w:rPr>
          <w:b/>
          <w:szCs w:val="24"/>
        </w:rPr>
        <w:t xml:space="preserve">Таблица </w:t>
      </w:r>
      <w:r w:rsidR="008A23E0" w:rsidRPr="005B62DC">
        <w:rPr>
          <w:b/>
          <w:szCs w:val="24"/>
        </w:rPr>
        <w:t>1. Соответствие шкал рейтингов</w:t>
      </w:r>
    </w:p>
    <w:p w:rsidR="00B906DA" w:rsidRPr="005B62DC" w:rsidRDefault="00B906DA" w:rsidP="005B62DC">
      <w:pPr>
        <w:spacing w:line="360" w:lineRule="auto"/>
        <w:jc w:val="both"/>
        <w:rPr>
          <w:b/>
          <w:szCs w:val="24"/>
        </w:rPr>
      </w:pPr>
    </w:p>
    <w:p w:rsidR="008A23E0" w:rsidRPr="005B62DC" w:rsidRDefault="008A23E0" w:rsidP="005B62DC">
      <w:pPr>
        <w:spacing w:line="360" w:lineRule="auto"/>
        <w:jc w:val="both"/>
        <w:rPr>
          <w:b/>
          <w:szCs w:val="24"/>
        </w:rPr>
      </w:pPr>
    </w:p>
    <w:tbl>
      <w:tblPr>
        <w:tblW w:w="9133" w:type="dxa"/>
        <w:jc w:val="center"/>
        <w:tblLook w:val="04A0"/>
      </w:tblPr>
      <w:tblGrid>
        <w:gridCol w:w="1619"/>
        <w:gridCol w:w="1556"/>
        <w:gridCol w:w="1986"/>
        <w:gridCol w:w="1986"/>
        <w:gridCol w:w="1986"/>
      </w:tblGrid>
      <w:tr w:rsidR="00B906DA" w:rsidRPr="005B62DC" w:rsidTr="00B906DA">
        <w:trPr>
          <w:trHeight w:val="345"/>
          <w:jc w:val="center"/>
        </w:trPr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АКРА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Эксперт РА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Moody`s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8D8D8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S&amp;P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Fitch</w:t>
            </w:r>
          </w:p>
        </w:tc>
      </w:tr>
      <w:tr w:rsidR="00B906DA" w:rsidRPr="005B62DC" w:rsidTr="00B906DA">
        <w:trPr>
          <w:trHeight w:val="345"/>
          <w:jc w:val="center"/>
        </w:trPr>
        <w:tc>
          <w:tcPr>
            <w:tcW w:w="1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Международная шкала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Международная шкала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Международная шкала</w:t>
            </w:r>
          </w:p>
        </w:tc>
      </w:tr>
      <w:tr w:rsidR="00B906DA" w:rsidRPr="005B62DC" w:rsidTr="00B906DA">
        <w:trPr>
          <w:trHeight w:val="34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Ваа1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ВВВ+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ВВВ+</w:t>
            </w:r>
          </w:p>
        </w:tc>
      </w:tr>
      <w:tr w:rsidR="00B906DA" w:rsidRPr="005B62DC" w:rsidTr="00B906DA">
        <w:trPr>
          <w:trHeight w:val="34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ind w:left="-118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Ваа2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ВВВ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ВВВ</w:t>
            </w:r>
          </w:p>
        </w:tc>
      </w:tr>
      <w:tr w:rsidR="00B906DA" w:rsidRPr="005B62DC" w:rsidTr="00B906DA">
        <w:trPr>
          <w:trHeight w:val="34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AAA(RU)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ruAAA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szCs w:val="24"/>
                <w:lang w:eastAsia="en-US"/>
              </w:rPr>
            </w:pPr>
            <w:r w:rsidRPr="005B62DC">
              <w:rPr>
                <w:rFonts w:eastAsiaTheme="minorHAnsi"/>
                <w:szCs w:val="24"/>
                <w:lang w:eastAsia="en-US"/>
              </w:rPr>
              <w:t>Ваа3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szCs w:val="24"/>
                <w:lang w:eastAsia="en-US"/>
              </w:rPr>
            </w:pPr>
            <w:r w:rsidRPr="005B62DC">
              <w:rPr>
                <w:rFonts w:eastAsiaTheme="minorHAnsi"/>
                <w:szCs w:val="24"/>
                <w:lang w:eastAsia="en-US"/>
              </w:rPr>
              <w:t>ВВВ-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szCs w:val="24"/>
                <w:lang w:eastAsia="en-US"/>
              </w:rPr>
            </w:pPr>
            <w:r w:rsidRPr="005B62DC">
              <w:rPr>
                <w:rFonts w:eastAsiaTheme="minorHAnsi"/>
                <w:szCs w:val="24"/>
                <w:lang w:eastAsia="en-US"/>
              </w:rPr>
              <w:t>ВВВ-</w:t>
            </w:r>
          </w:p>
        </w:tc>
      </w:tr>
      <w:tr w:rsidR="00B906DA" w:rsidRPr="005B62DC" w:rsidTr="00B906DA">
        <w:trPr>
          <w:trHeight w:val="34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val="en-US"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val="en-US" w:eastAsia="en-US"/>
              </w:rPr>
              <w:t>AA+(RU), AA(RU), AA-(RU)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ruAA+, ruAA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szCs w:val="24"/>
                <w:lang w:eastAsia="en-US"/>
              </w:rPr>
            </w:pPr>
            <w:r w:rsidRPr="005B62DC">
              <w:rPr>
                <w:rFonts w:eastAsiaTheme="minorHAnsi"/>
                <w:szCs w:val="24"/>
                <w:lang w:eastAsia="en-US"/>
              </w:rPr>
              <w:t>Ва1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szCs w:val="24"/>
                <w:lang w:eastAsia="en-US"/>
              </w:rPr>
            </w:pPr>
            <w:r w:rsidRPr="005B62DC">
              <w:rPr>
                <w:rFonts w:eastAsiaTheme="minorHAnsi"/>
                <w:szCs w:val="24"/>
                <w:lang w:eastAsia="en-US"/>
              </w:rPr>
              <w:t>ВВ+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szCs w:val="24"/>
                <w:lang w:eastAsia="en-US"/>
              </w:rPr>
            </w:pPr>
            <w:r w:rsidRPr="005B62DC">
              <w:rPr>
                <w:rFonts w:eastAsiaTheme="minorHAnsi"/>
                <w:szCs w:val="24"/>
                <w:lang w:eastAsia="en-US"/>
              </w:rPr>
              <w:t>ВВ+</w:t>
            </w:r>
          </w:p>
        </w:tc>
      </w:tr>
      <w:tr w:rsidR="00B906DA" w:rsidRPr="005B62DC" w:rsidTr="00B906DA">
        <w:trPr>
          <w:trHeight w:val="34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A+(RU), A(RU)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ruAA-, ruA+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Ва2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ВВ</w:t>
            </w:r>
          </w:p>
        </w:tc>
      </w:tr>
      <w:tr w:rsidR="00B906DA" w:rsidRPr="005B62DC" w:rsidTr="00B906DA">
        <w:trPr>
          <w:trHeight w:val="34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A-(RU), BBB+(RU)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ruA, ruA-, ruBBB+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Ва3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ВВ-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ВВ-</w:t>
            </w:r>
          </w:p>
        </w:tc>
      </w:tr>
      <w:tr w:rsidR="00B906DA" w:rsidRPr="005B62DC" w:rsidTr="00B906DA">
        <w:trPr>
          <w:trHeight w:val="34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BBB(RU), BBB-(RU)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ruBBB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В+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В+</w:t>
            </w:r>
          </w:p>
        </w:tc>
      </w:tr>
      <w:tr w:rsidR="00B906DA" w:rsidRPr="005B62DC" w:rsidTr="00407CC4">
        <w:trPr>
          <w:trHeight w:val="34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BB+(RU)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ruBBB-, ruBB+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</w:t>
            </w:r>
          </w:p>
        </w:tc>
      </w:tr>
      <w:tr w:rsidR="00B906DA" w:rsidRPr="005B62DC" w:rsidTr="00407CC4">
        <w:trPr>
          <w:trHeight w:val="34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BB(RU), BB-(RU)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ruBB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B3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B-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B-</w:t>
            </w:r>
          </w:p>
        </w:tc>
      </w:tr>
      <w:tr w:rsidR="00407CC4" w:rsidRPr="005B62DC" w:rsidTr="00407CC4">
        <w:trPr>
          <w:trHeight w:val="345"/>
          <w:jc w:val="center"/>
        </w:trPr>
        <w:tc>
          <w:tcPr>
            <w:tcW w:w="1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407CC4" w:rsidRPr="005B62DC" w:rsidRDefault="00407CC4" w:rsidP="005B62DC">
            <w:pPr>
              <w:spacing w:after="200" w:line="360" w:lineRule="auto"/>
              <w:jc w:val="center"/>
              <w:rPr>
                <w:rFonts w:eastAsiaTheme="minorHAnsi"/>
                <w:color w:val="000000"/>
                <w:szCs w:val="24"/>
                <w:lang w:val="en-US"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val="en-US" w:eastAsia="en-US"/>
              </w:rPr>
              <w:t>CCC, CC, C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407CC4" w:rsidRPr="005B62DC" w:rsidRDefault="00407CC4" w:rsidP="005B62DC">
            <w:pPr>
              <w:spacing w:after="200" w:line="360" w:lineRule="auto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val="en-US" w:eastAsia="en-US"/>
              </w:rPr>
              <w:t>CCC, CC, C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407CC4" w:rsidRPr="005B62DC" w:rsidRDefault="00407CC4" w:rsidP="005B62DC">
            <w:pPr>
              <w:spacing w:after="200" w:line="360" w:lineRule="auto"/>
              <w:jc w:val="center"/>
              <w:rPr>
                <w:rFonts w:eastAsiaTheme="minorHAnsi"/>
                <w:color w:val="000000"/>
                <w:szCs w:val="24"/>
                <w:lang w:val="en-US"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val="en-US" w:eastAsia="en-US"/>
              </w:rPr>
              <w:t>Caa, Ca, C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407CC4" w:rsidRPr="005B62DC" w:rsidRDefault="00407CC4" w:rsidP="005B62DC">
            <w:pPr>
              <w:spacing w:after="200" w:line="360" w:lineRule="auto"/>
              <w:jc w:val="center"/>
              <w:rPr>
                <w:rFonts w:eastAsiaTheme="minorHAnsi"/>
                <w:color w:val="000000"/>
                <w:szCs w:val="24"/>
                <w:lang w:val="en-US"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val="en-US" w:eastAsia="en-US"/>
              </w:rPr>
              <w:t>CCC, C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407CC4" w:rsidRPr="005B62DC" w:rsidRDefault="00407CC4" w:rsidP="005B62DC">
            <w:pPr>
              <w:spacing w:after="200" w:line="360" w:lineRule="auto"/>
              <w:jc w:val="center"/>
              <w:rPr>
                <w:rFonts w:eastAsiaTheme="minorHAnsi"/>
                <w:color w:val="000000"/>
                <w:szCs w:val="24"/>
                <w:lang w:val="en-US"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val="en-US" w:eastAsia="en-US"/>
              </w:rPr>
              <w:t>CCC, C</w:t>
            </w:r>
          </w:p>
        </w:tc>
      </w:tr>
    </w:tbl>
    <w:p w:rsidR="007F2F52" w:rsidRPr="005B62DC" w:rsidRDefault="007F2F52" w:rsidP="005B62DC">
      <w:pPr>
        <w:spacing w:line="360" w:lineRule="auto"/>
        <w:rPr>
          <w:szCs w:val="24"/>
        </w:rPr>
      </w:pPr>
    </w:p>
    <w:p w:rsidR="00B906DA" w:rsidRPr="005B62DC" w:rsidRDefault="00B906DA" w:rsidP="005B62DC">
      <w:pPr>
        <w:spacing w:line="360" w:lineRule="auto"/>
        <w:rPr>
          <w:szCs w:val="24"/>
        </w:rPr>
      </w:pPr>
    </w:p>
    <w:p w:rsidR="007F2F52" w:rsidRPr="005B62DC" w:rsidRDefault="007F2F52" w:rsidP="005B62DC">
      <w:pPr>
        <w:spacing w:line="360" w:lineRule="auto"/>
        <w:rPr>
          <w:szCs w:val="24"/>
        </w:rPr>
      </w:pPr>
    </w:p>
    <w:p w:rsidR="00C53584" w:rsidRPr="005B62DC" w:rsidRDefault="007F2F52" w:rsidP="005B62DC">
      <w:pPr>
        <w:spacing w:line="360" w:lineRule="auto"/>
        <w:rPr>
          <w:b/>
          <w:szCs w:val="24"/>
        </w:rPr>
      </w:pPr>
      <w:r w:rsidRPr="005B62DC">
        <w:rPr>
          <w:b/>
          <w:szCs w:val="24"/>
        </w:rPr>
        <w:t xml:space="preserve">Приложение </w:t>
      </w:r>
      <w:r w:rsidR="00F90AD4" w:rsidRPr="005B62DC">
        <w:rPr>
          <w:b/>
          <w:szCs w:val="24"/>
        </w:rPr>
        <w:t>1</w:t>
      </w:r>
      <w:r w:rsidRPr="005B62DC">
        <w:rPr>
          <w:b/>
          <w:szCs w:val="24"/>
        </w:rPr>
        <w:t xml:space="preserve">. </w:t>
      </w:r>
      <w:r w:rsidR="00DE11CF" w:rsidRPr="005B62DC">
        <w:rPr>
          <w:b/>
          <w:szCs w:val="24"/>
        </w:rPr>
        <w:t xml:space="preserve">Определение соответствия </w:t>
      </w:r>
      <w:r w:rsidR="00B906DA" w:rsidRPr="005B62DC">
        <w:rPr>
          <w:b/>
          <w:szCs w:val="24"/>
        </w:rPr>
        <w:t>уровню рейтинга</w:t>
      </w:r>
      <w:r w:rsidR="00DE11CF" w:rsidRPr="005B62DC">
        <w:rPr>
          <w:b/>
          <w:szCs w:val="24"/>
        </w:rPr>
        <w:t xml:space="preserve"> через кредитный спред облигаций</w:t>
      </w:r>
      <w:r w:rsidRPr="005B62DC">
        <w:rPr>
          <w:b/>
          <w:szCs w:val="24"/>
        </w:rPr>
        <w:t xml:space="preserve"> </w:t>
      </w:r>
    </w:p>
    <w:p w:rsidR="00C53584" w:rsidRPr="005B62DC" w:rsidRDefault="00C53584" w:rsidP="005B62DC">
      <w:pPr>
        <w:spacing w:line="360" w:lineRule="auto"/>
        <w:jc w:val="both"/>
        <w:rPr>
          <w:b/>
          <w:szCs w:val="24"/>
        </w:rPr>
      </w:pPr>
    </w:p>
    <w:p w:rsidR="00C53584" w:rsidRPr="005B62DC" w:rsidRDefault="00C53584" w:rsidP="005B62DC">
      <w:pPr>
        <w:spacing w:line="360" w:lineRule="auto"/>
        <w:jc w:val="both"/>
        <w:rPr>
          <w:szCs w:val="24"/>
        </w:rPr>
      </w:pPr>
      <w:r w:rsidRPr="005B62DC">
        <w:rPr>
          <w:szCs w:val="24"/>
        </w:rPr>
        <w:t xml:space="preserve">Порядок определения соответствия </w:t>
      </w:r>
      <w:r w:rsidR="00B906DA" w:rsidRPr="005B62DC">
        <w:rPr>
          <w:szCs w:val="24"/>
        </w:rPr>
        <w:t>уровню рейтинга</w:t>
      </w:r>
      <w:r w:rsidR="009B29A0" w:rsidRPr="005B62DC">
        <w:rPr>
          <w:szCs w:val="24"/>
        </w:rPr>
        <w:t xml:space="preserve"> на дату оценки</w:t>
      </w:r>
      <w:r w:rsidRPr="005B62DC">
        <w:rPr>
          <w:szCs w:val="24"/>
        </w:rPr>
        <w:t>:</w:t>
      </w:r>
    </w:p>
    <w:p w:rsidR="00C53584" w:rsidRPr="005B62DC" w:rsidRDefault="00C53584" w:rsidP="005B62DC">
      <w:pPr>
        <w:pStyle w:val="a9"/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5B62DC">
        <w:rPr>
          <w:szCs w:val="24"/>
        </w:rPr>
        <w:t>Определяется доходность к погашению по облигаци</w:t>
      </w:r>
      <w:r w:rsidR="003A0024" w:rsidRPr="005B62DC">
        <w:rPr>
          <w:szCs w:val="24"/>
        </w:rPr>
        <w:t>ям</w:t>
      </w:r>
      <w:r w:rsidRPr="005B62DC">
        <w:rPr>
          <w:szCs w:val="24"/>
        </w:rPr>
        <w:t xml:space="preserve"> данной организации</w:t>
      </w:r>
      <w:r w:rsidR="00A24243" w:rsidRPr="005B62DC">
        <w:rPr>
          <w:szCs w:val="24"/>
        </w:rPr>
        <w:t xml:space="preserve"> сроком более 1 года и менее 3 лет</w:t>
      </w:r>
      <w:r w:rsidRPr="005B62DC">
        <w:rPr>
          <w:szCs w:val="24"/>
        </w:rPr>
        <w:t xml:space="preserve">, </w:t>
      </w:r>
      <w:r w:rsidR="00A24243" w:rsidRPr="005B62DC">
        <w:rPr>
          <w:szCs w:val="24"/>
        </w:rPr>
        <w:t xml:space="preserve">. При отсутствии облигаций со сроком менее 3 лет можно использовать спрэд с индексами соответствующей срочности. При наличии облигаций со сроком погашения только менее 1 года </w:t>
      </w:r>
      <w:r w:rsidR="003F2953" w:rsidRPr="005B62DC">
        <w:rPr>
          <w:szCs w:val="24"/>
        </w:rPr>
        <w:t>для расчета кредитного спрэда могут использоваться облигации других эмитентов (как минимум 3-х), имеющих как близкие по сроку и доходности облигации, так и облигации со сроком 1-3 года.</w:t>
      </w:r>
    </w:p>
    <w:p w:rsidR="00C53584" w:rsidRPr="005B62DC" w:rsidRDefault="00C53584" w:rsidP="005B62DC">
      <w:pPr>
        <w:pStyle w:val="a9"/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5B62DC">
        <w:rPr>
          <w:szCs w:val="24"/>
        </w:rPr>
        <w:t>Определяется, доходности какого из индексов полученная доходность по облигации наиболее соответствует</w:t>
      </w:r>
      <w:r w:rsidR="003A0024" w:rsidRPr="005B62DC">
        <w:rPr>
          <w:szCs w:val="24"/>
        </w:rPr>
        <w:t xml:space="preserve">, в качестве меры близости используется средний кредитный спрэд </w:t>
      </w:r>
      <w:r w:rsidR="00A24243" w:rsidRPr="005B62DC">
        <w:rPr>
          <w:szCs w:val="24"/>
        </w:rPr>
        <w:t>облигаций</w:t>
      </w:r>
      <w:r w:rsidR="00A24243" w:rsidRPr="005B62DC">
        <w:rPr>
          <w:rStyle w:val="af"/>
          <w:szCs w:val="24"/>
        </w:rPr>
        <w:endnoteReference w:id="1"/>
      </w:r>
      <w:r w:rsidR="003A0024" w:rsidRPr="005B62DC">
        <w:rPr>
          <w:szCs w:val="24"/>
        </w:rPr>
        <w:t xml:space="preserve"> с </w:t>
      </w:r>
      <w:r w:rsidR="003A0024" w:rsidRPr="005B62DC">
        <w:rPr>
          <w:szCs w:val="24"/>
          <w:lang w:val="en-US"/>
        </w:rPr>
        <w:t>G</w:t>
      </w:r>
      <w:r w:rsidR="003A0024" w:rsidRPr="005B62DC">
        <w:rPr>
          <w:szCs w:val="24"/>
        </w:rPr>
        <w:t>-</w:t>
      </w:r>
      <w:r w:rsidR="003A0024" w:rsidRPr="005B62DC">
        <w:rPr>
          <w:szCs w:val="24"/>
          <w:lang w:val="en-US"/>
        </w:rPr>
        <w:t>curve</w:t>
      </w:r>
      <w:r w:rsidR="003A0024" w:rsidRPr="005B62DC">
        <w:rPr>
          <w:szCs w:val="24"/>
        </w:rPr>
        <w:t xml:space="preserve"> в сравнении с кредитным спрэдом указанных ниже индексов</w:t>
      </w:r>
      <w:r w:rsidRPr="005B62DC">
        <w:rPr>
          <w:szCs w:val="24"/>
        </w:rPr>
        <w:t xml:space="preserve">. </w:t>
      </w:r>
      <w:r w:rsidR="003A0024" w:rsidRPr="005B62DC">
        <w:rPr>
          <w:szCs w:val="24"/>
        </w:rPr>
        <w:t xml:space="preserve">Кредитный спрэд рассчитывается как разница между доходностью к погашению облигации на срок ее модифицированной дюрации и </w:t>
      </w:r>
      <w:r w:rsidR="003A0024" w:rsidRPr="005B62DC">
        <w:rPr>
          <w:szCs w:val="24"/>
          <w:lang w:val="en-US"/>
        </w:rPr>
        <w:t>G</w:t>
      </w:r>
      <w:r w:rsidR="003A0024" w:rsidRPr="005B62DC">
        <w:rPr>
          <w:szCs w:val="24"/>
        </w:rPr>
        <w:t>-</w:t>
      </w:r>
      <w:r w:rsidR="003A0024" w:rsidRPr="005B62DC">
        <w:rPr>
          <w:szCs w:val="24"/>
          <w:lang w:val="en-US"/>
        </w:rPr>
        <w:t>curve</w:t>
      </w:r>
      <w:r w:rsidR="003A0024" w:rsidRPr="005B62DC">
        <w:rPr>
          <w:szCs w:val="24"/>
        </w:rPr>
        <w:t xml:space="preserve"> на этот срок. </w:t>
      </w:r>
      <w:r w:rsidRPr="005B62DC">
        <w:rPr>
          <w:szCs w:val="24"/>
        </w:rPr>
        <w:t>В указанных целях используются следующие индексы:</w:t>
      </w:r>
    </w:p>
    <w:p w:rsidR="00DF2B7F" w:rsidRPr="005B62DC" w:rsidRDefault="00DF2B7F" w:rsidP="005B62DC">
      <w:pPr>
        <w:pStyle w:val="a9"/>
        <w:numPr>
          <w:ilvl w:val="0"/>
          <w:numId w:val="8"/>
        </w:numPr>
        <w:spacing w:line="360" w:lineRule="auto"/>
        <w:rPr>
          <w:rFonts w:eastAsia="Calibri"/>
          <w:szCs w:val="24"/>
          <w:lang w:eastAsia="en-US"/>
        </w:rPr>
      </w:pPr>
      <w:r w:rsidRPr="005B62DC">
        <w:rPr>
          <w:rFonts w:eastAsia="Calibri"/>
          <w:szCs w:val="24"/>
          <w:lang w:eastAsia="en-US"/>
        </w:rPr>
        <w:t>Индекс корпоративных облигаций (1-3 года, рейтинг ≥ BBB-)</w:t>
      </w:r>
    </w:p>
    <w:p w:rsidR="00DF2B7F" w:rsidRPr="005B62DC" w:rsidRDefault="00DF2B7F" w:rsidP="005B62DC">
      <w:pPr>
        <w:spacing w:line="360" w:lineRule="auto"/>
        <w:ind w:left="993"/>
        <w:rPr>
          <w:rFonts w:eastAsia="Calibri"/>
          <w:szCs w:val="24"/>
          <w:lang w:eastAsia="en-US"/>
        </w:rPr>
      </w:pPr>
      <w:r w:rsidRPr="005B62DC">
        <w:rPr>
          <w:rFonts w:eastAsia="Calibri"/>
          <w:szCs w:val="24"/>
          <w:lang w:eastAsia="en-US"/>
        </w:rPr>
        <w:t xml:space="preserve">Тикер - </w:t>
      </w:r>
      <w:r w:rsidRPr="005B62DC">
        <w:rPr>
          <w:rFonts w:eastAsia="Calibri"/>
          <w:b/>
          <w:szCs w:val="24"/>
          <w:lang w:eastAsia="en-US"/>
        </w:rPr>
        <w:t>RUCBITRBBBY</w:t>
      </w:r>
    </w:p>
    <w:p w:rsidR="00DF2B7F" w:rsidRPr="005B62DC" w:rsidRDefault="00DF2B7F" w:rsidP="005B62DC">
      <w:pPr>
        <w:spacing w:line="360" w:lineRule="auto"/>
        <w:ind w:left="993"/>
        <w:rPr>
          <w:rFonts w:eastAsia="Calibri"/>
          <w:szCs w:val="24"/>
          <w:lang w:eastAsia="en-US"/>
        </w:rPr>
      </w:pPr>
      <w:r w:rsidRPr="005B62DC">
        <w:rPr>
          <w:rFonts w:eastAsia="Calibri"/>
          <w:szCs w:val="24"/>
          <w:lang w:eastAsia="en-US"/>
        </w:rPr>
        <w:t xml:space="preserve">Описание индекса - </w:t>
      </w:r>
      <w:hyperlink r:id="rId8" w:history="1">
        <w:r w:rsidRPr="005B62DC">
          <w:rPr>
            <w:rFonts w:eastAsia="Calibri"/>
            <w:color w:val="0563C1"/>
            <w:szCs w:val="24"/>
            <w:u w:val="single"/>
            <w:lang w:eastAsia="en-US"/>
          </w:rPr>
          <w:t>http://moex.com/a2197</w:t>
        </w:r>
      </w:hyperlink>
      <w:r w:rsidRPr="005B62DC">
        <w:rPr>
          <w:rFonts w:eastAsia="Calibri"/>
          <w:szCs w:val="24"/>
          <w:lang w:eastAsia="en-US"/>
        </w:rPr>
        <w:t>.</w:t>
      </w:r>
    </w:p>
    <w:p w:rsidR="00DF2B7F" w:rsidRPr="005B62DC" w:rsidRDefault="00DF2B7F" w:rsidP="005B62DC">
      <w:pPr>
        <w:spacing w:line="360" w:lineRule="auto"/>
        <w:ind w:left="993"/>
        <w:rPr>
          <w:rFonts w:eastAsia="Calibri"/>
          <w:szCs w:val="24"/>
          <w:lang w:eastAsia="en-US"/>
        </w:rPr>
      </w:pPr>
      <w:r w:rsidRPr="005B62DC">
        <w:rPr>
          <w:rFonts w:eastAsia="Calibri"/>
          <w:szCs w:val="24"/>
          <w:lang w:eastAsia="en-US"/>
        </w:rPr>
        <w:t xml:space="preserve">Архив значений - </w:t>
      </w:r>
      <w:hyperlink r:id="rId9" w:history="1">
        <w:r w:rsidRPr="005B62DC">
          <w:rPr>
            <w:rFonts w:eastAsia="Calibri"/>
            <w:color w:val="0563C1"/>
            <w:szCs w:val="24"/>
            <w:u w:val="single"/>
            <w:lang w:eastAsia="en-US"/>
          </w:rPr>
          <w:t>http://moex.com/ru/index/RUCBITRBBB3Y/archive</w:t>
        </w:r>
      </w:hyperlink>
    </w:p>
    <w:p w:rsidR="00DF2B7F" w:rsidRPr="005B62DC" w:rsidRDefault="00DF2B7F" w:rsidP="005B62DC">
      <w:pPr>
        <w:pStyle w:val="a9"/>
        <w:numPr>
          <w:ilvl w:val="0"/>
          <w:numId w:val="8"/>
        </w:numPr>
        <w:spacing w:line="360" w:lineRule="auto"/>
        <w:rPr>
          <w:rFonts w:eastAsia="Calibri"/>
          <w:szCs w:val="24"/>
          <w:lang w:eastAsia="en-US"/>
        </w:rPr>
      </w:pPr>
      <w:r w:rsidRPr="005B62DC">
        <w:rPr>
          <w:rFonts w:eastAsia="Calibri"/>
          <w:szCs w:val="24"/>
          <w:lang w:eastAsia="en-US"/>
        </w:rPr>
        <w:t>Индекс корпоративных облигаций (1-3 года, BB- ≤ рейтинг &lt; BBB-)</w:t>
      </w:r>
    </w:p>
    <w:p w:rsidR="00DF2B7F" w:rsidRPr="005B62DC" w:rsidRDefault="00DF2B7F" w:rsidP="005B62DC">
      <w:pPr>
        <w:spacing w:line="360" w:lineRule="auto"/>
        <w:ind w:left="993"/>
        <w:rPr>
          <w:rFonts w:eastAsia="Calibri"/>
          <w:szCs w:val="24"/>
          <w:lang w:eastAsia="en-US"/>
        </w:rPr>
      </w:pPr>
      <w:r w:rsidRPr="005B62DC">
        <w:rPr>
          <w:rFonts w:eastAsia="Calibri"/>
          <w:szCs w:val="24"/>
          <w:lang w:eastAsia="en-US"/>
        </w:rPr>
        <w:t xml:space="preserve">Тикер -  </w:t>
      </w:r>
      <w:r w:rsidRPr="005B62DC">
        <w:rPr>
          <w:rFonts w:eastAsia="Calibri"/>
          <w:b/>
          <w:szCs w:val="24"/>
          <w:lang w:eastAsia="en-US"/>
        </w:rPr>
        <w:t>RUCBITRBB3Y</w:t>
      </w:r>
    </w:p>
    <w:p w:rsidR="00DF2B7F" w:rsidRPr="005B62DC" w:rsidRDefault="00DF2B7F" w:rsidP="005B62DC">
      <w:pPr>
        <w:spacing w:line="360" w:lineRule="auto"/>
        <w:ind w:left="993"/>
        <w:rPr>
          <w:rFonts w:eastAsia="Calibri"/>
          <w:szCs w:val="24"/>
          <w:lang w:eastAsia="en-US"/>
        </w:rPr>
      </w:pPr>
      <w:r w:rsidRPr="005B62DC">
        <w:rPr>
          <w:rFonts w:eastAsia="Calibri"/>
          <w:szCs w:val="24"/>
          <w:lang w:eastAsia="en-US"/>
        </w:rPr>
        <w:t xml:space="preserve">Описание индекса -  </w:t>
      </w:r>
      <w:hyperlink r:id="rId10" w:history="1">
        <w:r w:rsidRPr="005B62DC">
          <w:rPr>
            <w:rFonts w:eastAsia="Calibri"/>
            <w:color w:val="0563C1"/>
            <w:szCs w:val="24"/>
            <w:u w:val="single"/>
            <w:lang w:eastAsia="en-US"/>
          </w:rPr>
          <w:t>http://moex.com/a2196</w:t>
        </w:r>
      </w:hyperlink>
    </w:p>
    <w:p w:rsidR="00DF2B7F" w:rsidRPr="005B62DC" w:rsidRDefault="00DF2B7F" w:rsidP="005B62DC">
      <w:pPr>
        <w:spacing w:line="360" w:lineRule="auto"/>
        <w:ind w:left="993"/>
        <w:rPr>
          <w:rFonts w:eastAsia="Calibri"/>
          <w:szCs w:val="24"/>
          <w:lang w:eastAsia="en-US"/>
        </w:rPr>
      </w:pPr>
      <w:r w:rsidRPr="005B62DC">
        <w:rPr>
          <w:rFonts w:eastAsia="Calibri"/>
          <w:szCs w:val="24"/>
          <w:lang w:eastAsia="en-US"/>
        </w:rPr>
        <w:t xml:space="preserve">Архив значений - </w:t>
      </w:r>
      <w:hyperlink r:id="rId11" w:history="1">
        <w:r w:rsidRPr="005B62DC">
          <w:rPr>
            <w:rFonts w:eastAsia="Calibri"/>
            <w:color w:val="0563C1"/>
            <w:szCs w:val="24"/>
            <w:u w:val="single"/>
            <w:lang w:eastAsia="en-US"/>
          </w:rPr>
          <w:t>http://moex.com/ru/index/RUCBITRBB3Y/archive</w:t>
        </w:r>
      </w:hyperlink>
    </w:p>
    <w:p w:rsidR="00DF2B7F" w:rsidRPr="005B62DC" w:rsidRDefault="00DF2B7F" w:rsidP="005B62DC">
      <w:pPr>
        <w:pStyle w:val="a9"/>
        <w:numPr>
          <w:ilvl w:val="0"/>
          <w:numId w:val="8"/>
        </w:numPr>
        <w:spacing w:line="360" w:lineRule="auto"/>
        <w:rPr>
          <w:rFonts w:eastAsia="Calibri"/>
          <w:szCs w:val="24"/>
          <w:lang w:eastAsia="en-US"/>
        </w:rPr>
      </w:pPr>
      <w:r w:rsidRPr="005B62DC">
        <w:rPr>
          <w:rFonts w:eastAsia="Calibri"/>
          <w:szCs w:val="24"/>
          <w:lang w:eastAsia="en-US"/>
        </w:rPr>
        <w:t xml:space="preserve">Индекс корпоративных облигаций (1-3 года, B- ≤ рейтинг &lt; BB-) </w:t>
      </w:r>
    </w:p>
    <w:p w:rsidR="00DF2B7F" w:rsidRPr="005B62DC" w:rsidRDefault="00DF2B7F" w:rsidP="005B62DC">
      <w:pPr>
        <w:spacing w:line="360" w:lineRule="auto"/>
        <w:ind w:left="993"/>
        <w:rPr>
          <w:rFonts w:eastAsia="Calibri"/>
          <w:szCs w:val="24"/>
          <w:lang w:eastAsia="en-US"/>
        </w:rPr>
      </w:pPr>
      <w:r w:rsidRPr="005B62DC">
        <w:rPr>
          <w:rFonts w:eastAsia="Calibri"/>
          <w:szCs w:val="24"/>
          <w:lang w:eastAsia="en-US"/>
        </w:rPr>
        <w:t xml:space="preserve">Тикер - </w:t>
      </w:r>
      <w:r w:rsidRPr="005B62DC">
        <w:rPr>
          <w:rFonts w:eastAsia="Calibri"/>
          <w:b/>
          <w:szCs w:val="24"/>
          <w:lang w:eastAsia="en-US"/>
        </w:rPr>
        <w:t>RUCBITRB3Y</w:t>
      </w:r>
    </w:p>
    <w:p w:rsidR="00DF2B7F" w:rsidRPr="005B62DC" w:rsidRDefault="00DF2B7F" w:rsidP="005B62DC">
      <w:pPr>
        <w:spacing w:line="360" w:lineRule="auto"/>
        <w:ind w:left="993"/>
        <w:rPr>
          <w:rFonts w:eastAsia="Calibri"/>
          <w:szCs w:val="24"/>
          <w:lang w:eastAsia="en-US"/>
        </w:rPr>
      </w:pPr>
      <w:r w:rsidRPr="005B62DC">
        <w:rPr>
          <w:rFonts w:eastAsia="Calibri"/>
          <w:szCs w:val="24"/>
          <w:lang w:eastAsia="en-US"/>
        </w:rPr>
        <w:t xml:space="preserve">Описание индекса - </w:t>
      </w:r>
      <w:hyperlink r:id="rId12" w:history="1">
        <w:r w:rsidRPr="005B62DC">
          <w:rPr>
            <w:rFonts w:eastAsia="Calibri"/>
            <w:color w:val="0563C1"/>
            <w:szCs w:val="24"/>
            <w:u w:val="single"/>
            <w:lang w:eastAsia="en-US"/>
          </w:rPr>
          <w:t>http://moex.com/a2195</w:t>
        </w:r>
      </w:hyperlink>
    </w:p>
    <w:p w:rsidR="00DF2B7F" w:rsidRPr="005B62DC" w:rsidRDefault="00DF2B7F" w:rsidP="005B62DC">
      <w:pPr>
        <w:spacing w:line="360" w:lineRule="auto"/>
        <w:ind w:left="993"/>
        <w:rPr>
          <w:rFonts w:eastAsia="Calibri"/>
          <w:szCs w:val="24"/>
          <w:lang w:eastAsia="en-US"/>
        </w:rPr>
      </w:pPr>
      <w:r w:rsidRPr="005B62DC">
        <w:rPr>
          <w:rFonts w:eastAsia="Calibri"/>
          <w:szCs w:val="24"/>
          <w:lang w:eastAsia="en-US"/>
        </w:rPr>
        <w:t xml:space="preserve">Архив значений - </w:t>
      </w:r>
      <w:hyperlink r:id="rId13" w:history="1">
        <w:r w:rsidRPr="005B62DC">
          <w:rPr>
            <w:rFonts w:eastAsia="Calibri"/>
            <w:color w:val="0563C1"/>
            <w:szCs w:val="24"/>
            <w:u w:val="single"/>
            <w:lang w:eastAsia="en-US"/>
          </w:rPr>
          <w:t>http://moex.com/ru/index/RUCBITRB3Y/archive/</w:t>
        </w:r>
      </w:hyperlink>
    </w:p>
    <w:p w:rsidR="009B29A0" w:rsidRPr="005B62DC" w:rsidRDefault="009B29A0" w:rsidP="005B62DC">
      <w:pPr>
        <w:pStyle w:val="a9"/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5B62DC">
        <w:rPr>
          <w:szCs w:val="24"/>
        </w:rPr>
        <w:t xml:space="preserve"> По следующей таблице определяется, какой уровень рейтинга использовать при определении вероятности дефолта:</w:t>
      </w:r>
    </w:p>
    <w:p w:rsidR="00B906DA" w:rsidRPr="005B62DC" w:rsidRDefault="00B906DA" w:rsidP="005B62DC">
      <w:pPr>
        <w:pStyle w:val="a9"/>
        <w:spacing w:line="360" w:lineRule="auto"/>
        <w:jc w:val="both"/>
        <w:rPr>
          <w:szCs w:val="24"/>
        </w:rPr>
      </w:pPr>
    </w:p>
    <w:tbl>
      <w:tblPr>
        <w:tblpPr w:leftFromText="180" w:rightFromText="180" w:vertAnchor="text" w:tblpX="846" w:tblpY="1"/>
        <w:tblOverlap w:val="never"/>
        <w:tblW w:w="6663" w:type="dxa"/>
        <w:tblLayout w:type="fixed"/>
        <w:tblLook w:val="04A0"/>
      </w:tblPr>
      <w:tblGrid>
        <w:gridCol w:w="2694"/>
        <w:gridCol w:w="3969"/>
      </w:tblGrid>
      <w:tr w:rsidR="009B29A0" w:rsidRPr="005B62DC" w:rsidTr="00B906DA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9B29A0" w:rsidRPr="005B62DC" w:rsidRDefault="009B29A0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Moody`s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B29A0" w:rsidRPr="005B62DC" w:rsidRDefault="00B906DA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b/>
                <w:bCs/>
                <w:color w:val="000000"/>
                <w:szCs w:val="24"/>
                <w:lang w:eastAsia="en-US"/>
              </w:rPr>
              <w:t>Индекс</w:t>
            </w:r>
          </w:p>
        </w:tc>
      </w:tr>
      <w:tr w:rsidR="009B29A0" w:rsidRPr="005B62DC" w:rsidTr="00B906DA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29A0" w:rsidRPr="005B62DC" w:rsidRDefault="009B29A0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Международная шкала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9A0" w:rsidRPr="005B62DC" w:rsidRDefault="009B29A0" w:rsidP="005B62DC">
            <w:pPr>
              <w:spacing w:after="200" w:line="360" w:lineRule="auto"/>
              <w:rPr>
                <w:bCs/>
                <w:color w:val="000000"/>
                <w:szCs w:val="24"/>
                <w:lang w:eastAsia="en-US"/>
              </w:rPr>
            </w:pPr>
          </w:p>
        </w:tc>
      </w:tr>
      <w:tr w:rsidR="00B906DA" w:rsidRPr="005B62DC" w:rsidTr="00B906DA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Ваа1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rFonts w:eastAsia="Calibri"/>
                <w:b/>
                <w:szCs w:val="24"/>
                <w:lang w:eastAsia="en-US"/>
              </w:rPr>
              <w:t>RUCBITRBBBY</w:t>
            </w:r>
          </w:p>
        </w:tc>
      </w:tr>
      <w:tr w:rsidR="00B906DA" w:rsidRPr="005B62DC" w:rsidTr="00B906DA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Ваа2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906DA" w:rsidRPr="005B62DC" w:rsidTr="00B906DA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szCs w:val="24"/>
                <w:lang w:eastAsia="en-US"/>
              </w:rPr>
            </w:pPr>
            <w:r w:rsidRPr="005B62DC">
              <w:rPr>
                <w:rFonts w:eastAsiaTheme="minorHAnsi"/>
                <w:szCs w:val="24"/>
                <w:lang w:eastAsia="en-US"/>
              </w:rPr>
              <w:t>Ваа3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906DA" w:rsidRPr="005B62DC" w:rsidTr="00B906DA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szCs w:val="24"/>
                <w:lang w:eastAsia="en-US"/>
              </w:rPr>
            </w:pPr>
            <w:r w:rsidRPr="005B62DC">
              <w:rPr>
                <w:rFonts w:eastAsiaTheme="minorHAnsi"/>
                <w:szCs w:val="24"/>
                <w:lang w:eastAsia="en-US"/>
              </w:rPr>
              <w:t>Ва1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RUCBITRBB3Y</w:t>
            </w:r>
          </w:p>
        </w:tc>
      </w:tr>
      <w:tr w:rsidR="00B906DA" w:rsidRPr="005B62DC" w:rsidTr="00B906DA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Ва2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906DA" w:rsidRPr="005B62DC" w:rsidTr="00B906DA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Ва3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06DA" w:rsidRPr="005B62DC" w:rsidRDefault="00B906DA" w:rsidP="005B62DC">
            <w:pPr>
              <w:spacing w:after="200" w:line="360" w:lineRule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B29A0" w:rsidRPr="005B62DC" w:rsidTr="00B906DA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9B29A0" w:rsidRPr="005B62DC" w:rsidRDefault="009B29A0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29A0" w:rsidRPr="005B62DC" w:rsidRDefault="00B906DA" w:rsidP="005B62DC">
            <w:pPr>
              <w:spacing w:after="200" w:line="360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5B62DC">
              <w:rPr>
                <w:rFonts w:eastAsia="Calibri"/>
                <w:b/>
                <w:szCs w:val="24"/>
                <w:lang w:eastAsia="en-US"/>
              </w:rPr>
              <w:t>RUCBITRB3Y</w:t>
            </w:r>
          </w:p>
        </w:tc>
      </w:tr>
      <w:tr w:rsidR="009B29A0" w:rsidRPr="005B62DC" w:rsidTr="00B906DA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9B29A0" w:rsidRPr="005B62DC" w:rsidRDefault="009B29A0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В2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9A0" w:rsidRPr="005B62DC" w:rsidRDefault="009B29A0" w:rsidP="005B62DC">
            <w:pPr>
              <w:spacing w:after="200" w:line="360" w:lineRule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B29A0" w:rsidRPr="005B62DC" w:rsidTr="00B906DA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9B29A0" w:rsidRPr="005B62DC" w:rsidRDefault="009B29A0" w:rsidP="005B62DC">
            <w:pPr>
              <w:spacing w:after="200" w:line="360" w:lineRule="auto"/>
              <w:jc w:val="center"/>
              <w:rPr>
                <w:color w:val="000000"/>
                <w:szCs w:val="24"/>
                <w:lang w:eastAsia="en-US"/>
              </w:rPr>
            </w:pPr>
            <w:r w:rsidRPr="005B62DC">
              <w:rPr>
                <w:rFonts w:eastAsiaTheme="minorHAnsi"/>
                <w:color w:val="000000"/>
                <w:szCs w:val="24"/>
                <w:lang w:eastAsia="en-US"/>
              </w:rPr>
              <w:t>B3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A0" w:rsidRPr="005B62DC" w:rsidRDefault="009B29A0" w:rsidP="005B62DC">
            <w:pPr>
              <w:spacing w:after="200" w:line="360" w:lineRule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8A23E0" w:rsidRPr="005B62DC" w:rsidRDefault="00B906DA" w:rsidP="005B62DC">
      <w:pPr>
        <w:pStyle w:val="a9"/>
        <w:spacing w:line="360" w:lineRule="auto"/>
        <w:jc w:val="both"/>
        <w:rPr>
          <w:szCs w:val="24"/>
        </w:rPr>
      </w:pPr>
      <w:r w:rsidRPr="005B62DC">
        <w:rPr>
          <w:szCs w:val="24"/>
        </w:rPr>
        <w:br w:type="textWrapping" w:clear="all"/>
      </w:r>
    </w:p>
    <w:sectPr w:rsidR="008A23E0" w:rsidRPr="005B62DC" w:rsidSect="00E5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9A" w:rsidRDefault="0069429A" w:rsidP="00A24243">
      <w:r>
        <w:separator/>
      </w:r>
    </w:p>
  </w:endnote>
  <w:endnote w:type="continuationSeparator" w:id="0">
    <w:p w:rsidR="0069429A" w:rsidRDefault="0069429A" w:rsidP="00A24243">
      <w:r>
        <w:continuationSeparator/>
      </w:r>
    </w:p>
  </w:endnote>
  <w:endnote w:id="1">
    <w:p w:rsidR="00A24243" w:rsidRDefault="00A24243">
      <w:pPr>
        <w:pStyle w:val="ad"/>
      </w:pPr>
      <w:r>
        <w:rPr>
          <w:rStyle w:val="af"/>
        </w:rPr>
        <w:endnoteRef/>
      </w:r>
      <w:r>
        <w:t xml:space="preserve"> Способ усреднения кредитных спрэдов </w:t>
      </w:r>
      <w:r w:rsidR="003F2953">
        <w:t>устанавливается самостоятельно, может использоваться как среднее арифметическое, так и средневзвешенное по объемам либо оборотам торгов значение.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9A" w:rsidRDefault="0069429A" w:rsidP="00A24243">
      <w:r>
        <w:separator/>
      </w:r>
    </w:p>
  </w:footnote>
  <w:footnote w:type="continuationSeparator" w:id="0">
    <w:p w:rsidR="0069429A" w:rsidRDefault="0069429A" w:rsidP="00A24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323C"/>
    <w:multiLevelType w:val="hybridMultilevel"/>
    <w:tmpl w:val="B9B4DFA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3CF215B"/>
    <w:multiLevelType w:val="hybridMultilevel"/>
    <w:tmpl w:val="D3FACAF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42CF40A2"/>
    <w:multiLevelType w:val="hybridMultilevel"/>
    <w:tmpl w:val="94F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65C1C"/>
    <w:multiLevelType w:val="multilevel"/>
    <w:tmpl w:val="B308D41A"/>
    <w:lvl w:ilvl="0">
      <w:start w:val="1"/>
      <w:numFmt w:val="lowerLetter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4">
    <w:nsid w:val="66452F32"/>
    <w:multiLevelType w:val="hybridMultilevel"/>
    <w:tmpl w:val="9A400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8C2139"/>
    <w:multiLevelType w:val="hybridMultilevel"/>
    <w:tmpl w:val="A18C1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62E2D"/>
    <w:multiLevelType w:val="hybridMultilevel"/>
    <w:tmpl w:val="774AE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D7923"/>
    <w:multiLevelType w:val="hybridMultilevel"/>
    <w:tmpl w:val="18446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2BA"/>
    <w:rsid w:val="000135ED"/>
    <w:rsid w:val="000157B8"/>
    <w:rsid w:val="000924E0"/>
    <w:rsid w:val="0017745C"/>
    <w:rsid w:val="002022A7"/>
    <w:rsid w:val="00247694"/>
    <w:rsid w:val="00255871"/>
    <w:rsid w:val="002859D4"/>
    <w:rsid w:val="003407C3"/>
    <w:rsid w:val="00351F6F"/>
    <w:rsid w:val="003612BA"/>
    <w:rsid w:val="003661FD"/>
    <w:rsid w:val="00371D3E"/>
    <w:rsid w:val="003A0024"/>
    <w:rsid w:val="003B4D3A"/>
    <w:rsid w:val="003F2953"/>
    <w:rsid w:val="00407CC4"/>
    <w:rsid w:val="00446C6E"/>
    <w:rsid w:val="00474785"/>
    <w:rsid w:val="00503120"/>
    <w:rsid w:val="005B62DC"/>
    <w:rsid w:val="005D728D"/>
    <w:rsid w:val="005E0D7F"/>
    <w:rsid w:val="0063610C"/>
    <w:rsid w:val="006614C1"/>
    <w:rsid w:val="00673F74"/>
    <w:rsid w:val="0069429A"/>
    <w:rsid w:val="006B38EA"/>
    <w:rsid w:val="006E46EB"/>
    <w:rsid w:val="007F2F52"/>
    <w:rsid w:val="008106A8"/>
    <w:rsid w:val="008A23E0"/>
    <w:rsid w:val="008F6F12"/>
    <w:rsid w:val="00927F90"/>
    <w:rsid w:val="009B29A0"/>
    <w:rsid w:val="009C0191"/>
    <w:rsid w:val="009F1476"/>
    <w:rsid w:val="00A24243"/>
    <w:rsid w:val="00AE305E"/>
    <w:rsid w:val="00B17070"/>
    <w:rsid w:val="00B408B0"/>
    <w:rsid w:val="00B906DA"/>
    <w:rsid w:val="00BD07AF"/>
    <w:rsid w:val="00BF0B31"/>
    <w:rsid w:val="00C53584"/>
    <w:rsid w:val="00C97CBC"/>
    <w:rsid w:val="00D6209D"/>
    <w:rsid w:val="00D72619"/>
    <w:rsid w:val="00D81FD7"/>
    <w:rsid w:val="00DE11CF"/>
    <w:rsid w:val="00DF2584"/>
    <w:rsid w:val="00DF2B7F"/>
    <w:rsid w:val="00DF3DF2"/>
    <w:rsid w:val="00E565A0"/>
    <w:rsid w:val="00ED7BEE"/>
    <w:rsid w:val="00EF40B7"/>
    <w:rsid w:val="00F0376F"/>
    <w:rsid w:val="00F90AD4"/>
    <w:rsid w:val="00F9233D"/>
    <w:rsid w:val="00FC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612BA"/>
    <w:rPr>
      <w:sz w:val="16"/>
    </w:rPr>
  </w:style>
  <w:style w:type="paragraph" w:styleId="a4">
    <w:name w:val="annotation text"/>
    <w:basedOn w:val="a"/>
    <w:link w:val="a5"/>
    <w:uiPriority w:val="99"/>
    <w:rsid w:val="003612BA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3612B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3612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12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12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UBST">
    <w:name w:val="__SUBST"/>
    <w:rsid w:val="003B4D3A"/>
    <w:rPr>
      <w:b/>
      <w:bCs/>
      <w:i/>
      <w:iCs/>
      <w:sz w:val="22"/>
      <w:szCs w:val="22"/>
    </w:rPr>
  </w:style>
  <w:style w:type="paragraph" w:styleId="a9">
    <w:name w:val="List Paragraph"/>
    <w:basedOn w:val="a"/>
    <w:uiPriority w:val="34"/>
    <w:qFormat/>
    <w:rsid w:val="003B4D3A"/>
    <w:pPr>
      <w:ind w:left="720"/>
      <w:contextualSpacing/>
    </w:pPr>
  </w:style>
  <w:style w:type="paragraph" w:styleId="aa">
    <w:name w:val="annotation subject"/>
    <w:basedOn w:val="a4"/>
    <w:next w:val="a4"/>
    <w:link w:val="ab"/>
    <w:uiPriority w:val="99"/>
    <w:semiHidden/>
    <w:unhideWhenUsed/>
    <w:rsid w:val="00351F6F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351F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A23E0"/>
    <w:rPr>
      <w:color w:val="0563C1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A24243"/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24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A242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612BA"/>
    <w:rPr>
      <w:sz w:val="16"/>
    </w:rPr>
  </w:style>
  <w:style w:type="paragraph" w:styleId="a4">
    <w:name w:val="annotation text"/>
    <w:basedOn w:val="a"/>
    <w:link w:val="a5"/>
    <w:uiPriority w:val="99"/>
    <w:rsid w:val="003612BA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3612B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3612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12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12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UBST">
    <w:name w:val="__SUBST"/>
    <w:rsid w:val="003B4D3A"/>
    <w:rPr>
      <w:b/>
      <w:bCs/>
      <w:i/>
      <w:iCs/>
      <w:sz w:val="22"/>
      <w:szCs w:val="22"/>
    </w:rPr>
  </w:style>
  <w:style w:type="paragraph" w:styleId="a9">
    <w:name w:val="List Paragraph"/>
    <w:basedOn w:val="a"/>
    <w:uiPriority w:val="34"/>
    <w:qFormat/>
    <w:rsid w:val="003B4D3A"/>
    <w:pPr>
      <w:ind w:left="720"/>
      <w:contextualSpacing/>
    </w:pPr>
  </w:style>
  <w:style w:type="paragraph" w:styleId="aa">
    <w:name w:val="annotation subject"/>
    <w:basedOn w:val="a4"/>
    <w:next w:val="a4"/>
    <w:link w:val="ab"/>
    <w:uiPriority w:val="99"/>
    <w:semiHidden/>
    <w:unhideWhenUsed/>
    <w:rsid w:val="00351F6F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351F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A23E0"/>
    <w:rPr>
      <w:color w:val="0563C1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A24243"/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24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A242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x.com/a2197" TargetMode="External"/><Relationship Id="rId13" Type="http://schemas.openxmlformats.org/officeDocument/2006/relationships/hyperlink" Target="http://moex.com/ru/index/RUCBITRB3Y/archiv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ex.com/a2195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ex.com/ru/index/RUCBITRBB3Y/archiv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ex.com/a21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ex.com/ru/index/RUCBITRBBB3Y/archi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36F8-59B7-408E-AEC8-96EAA226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Вера</dc:creator>
  <cp:lastModifiedBy>gantseva</cp:lastModifiedBy>
  <cp:revision>3</cp:revision>
  <dcterms:created xsi:type="dcterms:W3CDTF">2018-10-02T10:55:00Z</dcterms:created>
  <dcterms:modified xsi:type="dcterms:W3CDTF">2018-10-03T09:36:00Z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486242730</vt:i4>
  </property>
  <property fmtid="{D5CDD505-2E9C-101B-9397-08002B2CF9AE}" pid="4" name="_EmailSubject">
    <vt:lpwstr>Встреча по Стандартам СЧА</vt:lpwstr>
  </property>
  <property fmtid="{D5CDD505-2E9C-101B-9397-08002B2CF9AE}" pid="5" name="_AuthorEmail">
    <vt:lpwstr>V.Aristova@sdkgarant.ru</vt:lpwstr>
  </property>
  <property fmtid="{D5CDD505-2E9C-101B-9397-08002B2CF9AE}" pid="6" name="_AuthorEmailDisplayName">
    <vt:lpwstr>Аристова Вера Борисовна</vt:lpwstr>
  </property>
  <property fmtid="{D5CDD505-2E9C-101B-9397-08002B2CF9AE}" pid="7" name="_ReviewingToolsShownOnce">
    <vt:lpwstr/>
  </property>
</Properties>
</file>