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3" w:type="dxa"/>
        <w:tblInd w:w="103" w:type="dxa"/>
        <w:tblLook w:val="04A0"/>
      </w:tblPr>
      <w:tblGrid>
        <w:gridCol w:w="1895"/>
        <w:gridCol w:w="1466"/>
        <w:gridCol w:w="10319"/>
        <w:gridCol w:w="2053"/>
      </w:tblGrid>
      <w:tr w:rsidR="002D6D8E" w:rsidRPr="008A1B04" w:rsidTr="002D6D8E">
        <w:trPr>
          <w:trHeight w:val="1500"/>
        </w:trPr>
        <w:tc>
          <w:tcPr>
            <w:tcW w:w="157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D8E" w:rsidRPr="008A1B04" w:rsidRDefault="002D6D8E" w:rsidP="002D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1B0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Допустимые методы определения справедливой стоимости ценных бумаг</w:t>
            </w:r>
            <w:r w:rsidRPr="008A1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83F75" w:rsidRPr="008A1B04" w:rsidTr="0057549D">
        <w:trPr>
          <w:trHeight w:val="15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8A1B04" w:rsidRDefault="00883F75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Вид актива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8A1B04" w:rsidRDefault="00883F75" w:rsidP="001E2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определения справедливой стоимости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5" w:rsidRPr="008A1B04" w:rsidRDefault="0024565E" w:rsidP="0088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Методы определения справедливой стоимости</w:t>
            </w:r>
          </w:p>
          <w:p w:rsidR="00883F75" w:rsidRPr="008A1B04" w:rsidRDefault="00883F75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255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Торгуемый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Неторгуемый</w:t>
            </w:r>
          </w:p>
        </w:tc>
      </w:tr>
      <w:tr w:rsidR="001E2BAE" w:rsidRPr="008A1B04" w:rsidTr="0057549D">
        <w:trPr>
          <w:trHeight w:val="2595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Ценные бумаги российских эмитентов 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 уровень</w:t>
            </w:r>
          </w:p>
        </w:tc>
        <w:tc>
          <w:tcPr>
            <w:tcW w:w="10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CEC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0" w:name="RANGE!C3"/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Вариант 1: Для определения справедливой стоимости, используются цены основного рынка   за последний торговый день (из числа активных  российских бирж), выбранные в следующем порядке (убывания приоритета):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a) цена спроса (bid) на момент окончания торговой сессии российской биржи на дату определения СЧА при условии подтверждения ее корректности; </w:t>
            </w:r>
            <w:r w:rsidR="007E264A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b) средневзвешенная цена на момент окончания торговой сессии российской биржи на дату определения СЧА, </w:t>
            </w:r>
            <w:r w:rsidR="00471CE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 условии, что данная цена находится в пределах спр</w:t>
            </w:r>
            <w:r w:rsidR="00E121F1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</w:t>
            </w:r>
            <w:r w:rsidR="00471CE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да по спросу и предложению на указанную дату;</w:t>
            </w:r>
          </w:p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с) цена закрытия на момент окончания торговой сессии российской биржи на дату определения СЧА при условии подтверждения ее корректности;</w:t>
            </w:r>
            <w:r w:rsidR="001F370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 w:rsidR="001F370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 проверкой (CLOSE)&lt;&gt;0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Иной приоритет определения справедливой стоимости может быть установлен в Правилах определения СЧА .</w:t>
            </w:r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E2BAE" w:rsidRPr="008A1B04" w:rsidTr="0057549D">
        <w:trPr>
          <w:trHeight w:val="1420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255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 уровень </w:t>
            </w:r>
          </w:p>
        </w:tc>
        <w:tc>
          <w:tcPr>
            <w:tcW w:w="10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707" w:rsidRPr="008A1B04" w:rsidRDefault="001C5716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Для акций российских эмитентов в порядке убывания приоритета: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Вариант 1. Справедливая стоимость акций, обращающихся на российских и иностранных фондовых биржах, определяется в соответствии с моделью оценки, основанной на корректировке исторической цены</w:t>
            </w:r>
            <w:r w:rsidR="001F3707"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(далее – модель CAPM)</w:t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Данная корректировка применяется в случае отсутствия наблюдаемой цены в течен</w:t>
            </w:r>
            <w:r w:rsidR="001F370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ие не более десяти рабочих дней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(далее 3 уровень)</w:t>
            </w:r>
            <w:r w:rsidR="001F370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Для целей оценки справедливой стоимости используется сравнение динамики (доходности за определенный промежуток времени) анализируемого финансового инструмента с динамикой рыночных индикаторов. </w:t>
            </w:r>
          </w:p>
          <w:p w:rsidR="00437E4F" w:rsidRPr="008A1B04" w:rsidRDefault="001F3707" w:rsidP="001F3707">
            <w:pPr>
              <w:spacing w:after="0"/>
              <w:ind w:firstLine="708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качестве рыночного индикатора (бенчмарка) акций российских эмитентов, </w:t>
            </w:r>
            <w:r w:rsidR="00437E4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могут использоваться:</w:t>
            </w:r>
          </w:p>
          <w:p w:rsidR="001F3707" w:rsidRPr="008A1B04" w:rsidRDefault="00437E4F" w:rsidP="00437E4F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F370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индекс Московской Биржи (IMOEX).</w:t>
            </w:r>
          </w:p>
          <w:p w:rsidR="001C5716" w:rsidRPr="008A1B04" w:rsidRDefault="00EB6F09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- индексы акций широкого рынка (основные индексы), такие как MSCI, S&amp;P500, DJIA и другие; </w:t>
            </w:r>
          </w:p>
          <w:p w:rsidR="001C5716" w:rsidRPr="008A1B04" w:rsidRDefault="00EB6F09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 капитализационные индексы акций (высокой, средней и низкой капитализации);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- отраслевые индексы.</w:t>
            </w:r>
            <w:r w:rsidR="001C5716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По депозитарным распискам возможно использование рыночных индикаторов в отношении базовых активов, также следует выбирать индекс с учетом странового риска инструмента. </w:t>
            </w:r>
          </w:p>
          <w:p w:rsidR="00B546C4" w:rsidRPr="008A1B04" w:rsidRDefault="001C5716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Таблица выбора соответствующего индекса устанавливается в Правилах определения СЧА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В случае, если валюта индекса отличается от валюты оцениваемой ценной бумаги, расчет производится с учетом курсовой разницы по курсу, определяемому в соответствии с Правилами определения </w:t>
            </w:r>
            <w:r w:rsidR="00883F7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СЧА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546C4" w:rsidRPr="008A1B04" w:rsidRDefault="00B546C4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Формула расчета справедливой стоимости на дату расчета</w:t>
            </w:r>
            <w:r w:rsidR="001C5716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1+E(R)</m:t>
                    </m:r>
                  </m:e>
                </m:d>
              </m:oMath>
            </m:oMathPara>
          </w:p>
          <w:p w:rsidR="00A36A5A" w:rsidRPr="008A1B04" w:rsidRDefault="00A36A5A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546C4" w:rsidRPr="008A1B04" w:rsidRDefault="00B546C4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Формула расчета ожидаемой доходности модели CAPM:</w:t>
            </w:r>
          </w:p>
          <w:p w:rsidR="00B546C4" w:rsidRPr="008A1B04" w:rsidRDefault="00B546C4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546C4" w:rsidRPr="008A1B04" w:rsidRDefault="00B546C4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 xml:space="preserve">+β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  <w:p w:rsidR="00B546C4" w:rsidRPr="008A1B04" w:rsidRDefault="00B546C4" w:rsidP="00B546C4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546C4" w:rsidRPr="008A1B04" w:rsidRDefault="0024565E" w:rsidP="00B546C4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-1</m:t>
                </m:r>
              </m:oMath>
            </m:oMathPara>
          </w:p>
          <w:p w:rsidR="00B546C4" w:rsidRPr="008A1B04" w:rsidRDefault="00B546C4" w:rsidP="00B546C4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546C4" w:rsidRPr="008A1B04" w:rsidRDefault="00B546C4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Параметры формул расчета справедливой стоимости, модели CAPM: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справедливая стоимость одной ценной бумаги на дату определения справедливой стоимости;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0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последняя определенная справедливая стоимость ценной бумаги;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значение рыночного индикатора на дату определения справедливой стоимости;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0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значение рыночного индикатора на предыдущую дату определения справедливой стоимости.</w:t>
            </w:r>
          </w:p>
          <w:p w:rsidR="00B546C4" w:rsidRPr="008A1B04" w:rsidRDefault="00B546C4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</m:d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ожидаемая доходность ценной бумаги;</w:t>
            </w:r>
          </w:p>
          <w:p w:rsidR="00B546C4" w:rsidRPr="008A1B04" w:rsidRDefault="00B546C4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β</m:t>
              </m:r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Бета коэффициент, рассчитанный по изменениям цен (значений) рыночного индикатора и изменениям цены ценной бумаги. Для расчета коэффициента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 xml:space="preserve"> β</m:t>
              </m:r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используются значения, определенные за последние 45 торговых дней, предшествующих дате определения справедливой стоимости;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- доходность рыночного индикатора;</w:t>
            </w:r>
          </w:p>
          <w:p w:rsidR="00B546C4" w:rsidRPr="008A1B04" w:rsidRDefault="0024565E" w:rsidP="00B546C4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f</m:t>
                  </m:r>
                </m:sub>
              </m:sSub>
            </m:oMath>
            <w:r w:rsidR="00B546C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Risk-free Rate – безрисковая ставка доходности;</w:t>
            </w:r>
          </w:p>
          <w:p w:rsidR="001C5716" w:rsidRPr="008A1B04" w:rsidRDefault="001C5716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B546C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–</w:t>
            </w:r>
          </w:p>
          <w:p w:rsidR="00B546C4" w:rsidRPr="008A1B04" w:rsidRDefault="00B546C4" w:rsidP="00B546C4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Безрисковая ставка доходности определяется на дату определенная справедливой стоимости. Безрисковая ставка доходности приводится к количеству календарных дней между датами ее расчета по формуле:</w:t>
            </w:r>
          </w:p>
          <w:p w:rsidR="001C5716" w:rsidRPr="008A1B04" w:rsidRDefault="0024565E" w:rsidP="001C5716">
            <w:pPr>
              <w:rPr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  <w:lang w:val="en-US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/365</m:t>
                    </m:r>
                  </m:e>
                </m:d>
                <m:r>
                  <w:rPr>
                    <w:rFonts w:ascii="Cambria Math"/>
                    <w:color w:val="000000" w:themeColor="text1"/>
                    <w:sz w:val="20"/>
                    <w:szCs w:val="20"/>
                    <w:lang w:val="en-US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:rsidR="00A36A5A" w:rsidRPr="008A1B04" w:rsidRDefault="00E872EE" w:rsidP="00A36A5A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где:</w:t>
            </w: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br/>
              <w:t xml:space="preserve">где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d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- количество календарных дней между указанными датами.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sub>
              </m:sSub>
            </m:oMath>
            <w:r w:rsidR="00E872EE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–дата определения справедливой стоимости;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0</m:t>
                  </m:r>
                </m:sub>
              </m:sSub>
            </m:oMath>
            <w:r w:rsidR="00E872EE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– предыдущая дата определения справедливой стоимости.</w:t>
            </w:r>
          </w:p>
          <w:p w:rsidR="001C5716" w:rsidRPr="008A1B04" w:rsidRDefault="001C5716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A36A5A" w:rsidRPr="008A1B04" w:rsidRDefault="00A36A5A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A36A5A" w:rsidRPr="008A1B04" w:rsidRDefault="00A36A5A" w:rsidP="00A36A5A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Для акций российских эмитентов, торгуемых на Московской Б</w:t>
            </w:r>
            <w:r w:rsidR="0093508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ирже</w:t>
            </w:r>
            <w:r w:rsidR="00883F75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,</w:t>
            </w:r>
            <w:r w:rsidR="00935084"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безрисковая ставка доходности – ставка,</w:t>
            </w: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определенная в соответствии со значением кривой бескупонной доходности (ставка КБД) государственных ценных бумаг на интервале в один год. В расчете используются:</w:t>
            </w:r>
          </w:p>
          <w:p w:rsidR="00A36A5A" w:rsidRPr="008A1B04" w:rsidRDefault="00A36A5A" w:rsidP="00A36A5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методика расчёта кривой бескупонной доходности государственных облигаций, определенная Московской биржей;</w:t>
            </w:r>
          </w:p>
          <w:p w:rsidR="00A36A5A" w:rsidRPr="008A1B04" w:rsidRDefault="00A36A5A" w:rsidP="00A36A5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динамические параметры G-кривой по состоянию на каждый торговый день, публикуемые на официальном сайте Московской биржи.</w:t>
            </w:r>
          </w:p>
          <w:p w:rsidR="00676E39" w:rsidRPr="008A1B04" w:rsidRDefault="00E872EE" w:rsidP="00676E39">
            <w:pPr>
              <w:spacing w:after="0"/>
              <w:ind w:firstLine="36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Ставка КБД рассчитывается без промежуточных округлений с точностью до 2 знаков после запятой (в процентном выражении).</w:t>
            </w:r>
          </w:p>
          <w:p w:rsidR="00A36A5A" w:rsidRPr="008A1B04" w:rsidRDefault="00A36A5A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A36A5A" w:rsidRPr="008A1B04" w:rsidRDefault="00E872E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Бета коэффициент - β</w:t>
            </w:r>
          </w:p>
          <w:p w:rsidR="00A36A5A" w:rsidRPr="008A1B04" w:rsidRDefault="00E872E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β=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 xml:space="preserve">Covariance 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 xml:space="preserve"> 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 xml:space="preserve">Variance 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A36A5A" w:rsidRPr="008A1B04" w:rsidRDefault="00A36A5A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i-1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-1,  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i-1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 xml:space="preserve">-1 </m:t>
                </m:r>
              </m:oMath>
            </m:oMathPara>
          </w:p>
          <w:p w:rsidR="00A36A5A" w:rsidRPr="008A1B04" w:rsidRDefault="00A36A5A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a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- доходность актива;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i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– цена закрытия актива на дату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i</m:t>
              </m:r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i-1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– предыдущая цена закрытия актива;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- доходность рыночного индикатора;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i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– значение рыночного индикатора на дату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i</m:t>
              </m:r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36A5A" w:rsidRPr="008A1B04" w:rsidRDefault="0024565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i-1</m:t>
                  </m:r>
                </m:sub>
              </m:sSub>
            </m:oMath>
            <w:r w:rsidR="00E872E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– предыдущее значение рыночного индикатора;</w:t>
            </w:r>
          </w:p>
          <w:p w:rsidR="00A36A5A" w:rsidRPr="008A1B04" w:rsidRDefault="00E872EE" w:rsidP="00A36A5A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i=1…N</m:t>
              </m:r>
            </m:oMath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торговые дни, предшествующие дате определения справедливой стоимости. Для расчета доходности актива и рыночного индикатора (бенчмарка), используются значения цены закрытия и рыночного индикатора за последние 45 торговых дней, предшествующие дате определения справедливой стоимости.</w:t>
            </w:r>
          </w:p>
          <w:p w:rsidR="00A36A5A" w:rsidRPr="008A1B04" w:rsidRDefault="00E872EE" w:rsidP="00A36A5A">
            <w:pPr>
              <w:spacing w:after="0"/>
              <w:ind w:firstLine="708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Бета коэффициент рассчитывается на дату, предшествующую дате определения справедливой стоимости. При этом дата расчета Бета коэффициента должна являться торговым днем.</w:t>
            </w:r>
          </w:p>
          <w:p w:rsidR="00A36A5A" w:rsidRPr="008A1B04" w:rsidRDefault="00E872EE" w:rsidP="00A36A5A">
            <w:pPr>
              <w:spacing w:after="0"/>
              <w:ind w:firstLine="708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 использовании модели CAPM в целях расчета Бета коэффициента:</w:t>
            </w:r>
          </w:p>
          <w:p w:rsidR="00A36A5A" w:rsidRPr="008A1B04" w:rsidRDefault="00E872EE" w:rsidP="00A36A5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для акций российских эмитентов применяются значения </w:t>
            </w:r>
            <w:r w:rsidR="00883F7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</w:t>
            </w:r>
            <w:r w:rsidR="00F77EE0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ны закрытия на Московской Бирже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76E39" w:rsidRPr="008A1B04" w:rsidRDefault="00E872EE" w:rsidP="00676E39">
            <w:pPr>
              <w:spacing w:after="0"/>
              <w:ind w:firstLine="36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Полученное значение Бета коэффициента округляется по правилам математического округления до пяти десятичных знаков.</w:t>
            </w:r>
          </w:p>
          <w:p w:rsidR="00676E39" w:rsidRPr="008A1B04" w:rsidRDefault="00676E39" w:rsidP="00676E39">
            <w:pPr>
              <w:spacing w:after="0"/>
              <w:ind w:left="36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Показатели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a</m:t>
                  </m:r>
                </m:sub>
              </m:sSub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oMath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рассчитываются без промежуточных округлений.</w:t>
            </w:r>
          </w:p>
          <w:p w:rsidR="00A36A5A" w:rsidRPr="008A1B04" w:rsidRDefault="00A36A5A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676E39" w:rsidRPr="008A1B04" w:rsidRDefault="00E872EE" w:rsidP="00676E39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Прочие условия:</w:t>
            </w:r>
          </w:p>
          <w:p w:rsidR="00676E39" w:rsidRPr="008A1B04" w:rsidRDefault="00E872EE" w:rsidP="00676E39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Цена закрытия актива на дату определения справедливой стоимости в модели не учитывается.</w:t>
            </w:r>
          </w:p>
          <w:p w:rsidR="00676E39" w:rsidRPr="008A1B04" w:rsidRDefault="00E872EE" w:rsidP="00676E39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При отсутствии цены закрытия в какой-либо торговый день в периоде 45 торговых дней, на дату расчета коэффициента Бета, информация о значении рыночного индикатора (бенчмарка) и безрисковой ставки за этот торговый день в модели не учитывается.</w:t>
            </w:r>
          </w:p>
          <w:p w:rsidR="00676E39" w:rsidRPr="008A1B04" w:rsidRDefault="00E872EE" w:rsidP="00676E39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При наличии цены закрытия и отсутствии значения рыночного индикатора (бенчмарка) в какой-либо торговый день в периоде 45 торговых дней, на дату расчета коэффициента Бета, значение рыночного индикатора (бенчмарка) за этот торговый день принимается равным последнему известному.</w:t>
            </w:r>
          </w:p>
          <w:p w:rsidR="00676E39" w:rsidRPr="008A1B04" w:rsidRDefault="00E872EE" w:rsidP="00676E39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При отсутствии значения безрисковой ставки на дату расчета, значение безрисковой ставки за этот день принимается равным последнему известному.</w:t>
            </w:r>
          </w:p>
          <w:p w:rsidR="00676E39" w:rsidRPr="008A1B04" w:rsidRDefault="00E872EE" w:rsidP="00676E39">
            <w:pPr>
              <w:spacing w:after="0"/>
              <w:ind w:firstLine="708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биржи, которая определена на дату возникновения оснований для применения модели CAPM. К такой информации относится следующие значения:</w:t>
            </w:r>
          </w:p>
          <w:p w:rsidR="00676E39" w:rsidRPr="008A1B04" w:rsidRDefault="00E872EE" w:rsidP="00676E3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цена закрытия;</w:t>
            </w:r>
          </w:p>
          <w:p w:rsidR="00676E39" w:rsidRPr="008A1B04" w:rsidRDefault="00E872EE" w:rsidP="00676E3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 xml:space="preserve"> значение рыночного индикатора.</w:t>
            </w:r>
          </w:p>
          <w:p w:rsidR="00A36A5A" w:rsidRPr="008A1B04" w:rsidRDefault="001C5716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.</w:t>
            </w:r>
          </w:p>
          <w:p w:rsidR="00A36A5A" w:rsidRPr="008A1B04" w:rsidRDefault="00A36A5A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A36A5A" w:rsidRPr="008A1B04" w:rsidRDefault="00A36A5A" w:rsidP="001C57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Управляющая компания Правилами определения СЧА может установить необходимость  применения значения 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</w:rPr>
                <m:t>α</m:t>
              </m:r>
            </m:oMath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при расчете корректировки справедливой стоимости.</w:t>
            </w: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Правилами определения СЧА может быть установлен следующий порядок определения коэффициента Альфа</w:t>
            </w: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0"/>
                    <w:szCs w:val="20"/>
                  </w:rPr>
                  <m:t xml:space="preserve">α=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- β*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</m:e>
                </m:bar>
              </m:oMath>
            </m:oMathPara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где:</w:t>
            </w:r>
          </w:p>
          <w:p w:rsidR="00FE5213" w:rsidRPr="008A1B04" w:rsidRDefault="00FE5213" w:rsidP="00FE52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a</m:t>
                  </m:r>
                </m:sub>
              </m:sSub>
            </m:oMath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– доходность по ценной бумаге,</w:t>
            </w:r>
          </w:p>
          <w:p w:rsidR="001E2BAE" w:rsidRPr="008A1B04" w:rsidRDefault="001E2BAE" w:rsidP="00FD74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Для </w:t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облигаций российских эмитентов в порядке убывания </w:t>
            </w:r>
            <w:r w:rsidR="00B52F77"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риоритета: </w:t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Вариант 1. 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цена, рассчитанная НКО АО НРД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(приоритет по ценам, рассчитанным по методологии, утвержденной 01.12.2017, при отсутствии цены могут использоваться методологии, утвержденные до этого времени)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, Thompson Reuters</w:t>
            </w:r>
            <w:r w:rsidR="00DF4BF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Refinitiv</w:t>
            </w:r>
            <w:r w:rsidR="00DF4BF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2.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облигаций российских эмитентов</w:t>
            </w:r>
            <w:r w:rsidR="00437E4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модель оценки в соответствии с Приложени</w:t>
            </w:r>
            <w:r w:rsidR="00201E8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ем 4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 Стандартам Модель №1 или Модель №2</w:t>
            </w:r>
            <w:r w:rsidR="00FD74D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(Уровень 2)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</w:tr>
      <w:tr w:rsidR="001E2BAE" w:rsidRPr="008A1B04" w:rsidTr="0057549D">
        <w:trPr>
          <w:trHeight w:val="1680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8190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1530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3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Цена, на основании отчета оценщика,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даты определения СЧА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Вариант 1. Для облигаций российских эмитентов модель оценки в соответствии с Приложением 4к Стандартам Модель №</w:t>
            </w:r>
            <w:r w:rsidR="00FD74D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(уровень 3)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Оценка, на основании отчета оценщика,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даты определения СЧА</w:t>
            </w:r>
          </w:p>
        </w:tc>
      </w:tr>
      <w:tr w:rsidR="001E2BAE" w:rsidRPr="008A1B04" w:rsidTr="0057549D">
        <w:trPr>
          <w:trHeight w:val="6495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Ценные бумаги иностранных эмитентов  (в том числе паи иностранных инвестиционных фондов)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1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AE" w:rsidRPr="008A1B04" w:rsidRDefault="00D437A0" w:rsidP="00E121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Если д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ля определения справедливой стоимости, используются цены основного рынка за последний торговый день   (из числа активных  российских бирж</w:t>
            </w:r>
            <w:r w:rsidR="00C9354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83F7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то</w:t>
            </w:r>
            <w:r w:rsidR="00C9354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используются цены</w:t>
            </w:r>
            <w:r w:rsidR="0009433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="00C9354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выбранные в следующем порядке (убывания приоритета):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a) цена спроса (bid) на момент окончания торговой сессии российской биржи на дату определения СЧА при условии подтверждения ее корректности; 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b) средневзвешенная цена на момент окончания торговой сессии российской биржи на дату определения СЧА</w:t>
            </w:r>
            <w:r w:rsidR="008555E1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при условии, что данная цена находится в пределах спр</w:t>
            </w:r>
            <w:r w:rsidR="00E121F1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</w:t>
            </w:r>
            <w:r w:rsidR="008555E1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да по спросу и предложению на указанную дату;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 с) цена закрытия на момент окончания торговой сессии российской биржи на дату определения СЧА при условии подтверждения ее корректности;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Цена закрытия признается корректной, если раскрыты данные об объеме торгов за день и объем торгов не равен нулю.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с проверкой (CLOSE)&lt;&gt;0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Иной приоритет определения справедливой стоимости может быть установлен в Правилах определения СЧА .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Если д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ля определения справедливой стоимости , используются цены основного рынка за последний торговый день   (из числа активных иностранных бирж),</w:t>
            </w:r>
            <w:r w:rsidR="00C9354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3F7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то </w:t>
            </w:r>
            <w:r w:rsidR="00C93544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используются цены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выбранные в следующем порядке (убывания приоритета):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a) цена спроса (bid last,) на торговой площадке иностранной биржи  на дату определения СЧА;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1E2BAE" w:rsidRPr="008A1B0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b) цена закрытия (px_last)</w:t>
            </w:r>
            <w:r w:rsidR="00B3445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на  торговой площадке иностранной биржи  на дату определения СЧА при условии подтверждения ее корректности;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Цена закрытия признается корректной, если раскрыты данные об объеме торгов за день и объем торгов не равен нулю.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E2BAE" w:rsidRPr="008A1B04" w:rsidTr="0057549D">
        <w:trPr>
          <w:trHeight w:val="459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100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98"/>
            </w:tblGrid>
            <w:tr w:rsidR="001E2BAE" w:rsidRPr="008A1B04" w:rsidTr="001E2BAE">
              <w:trPr>
                <w:trHeight w:val="4590"/>
                <w:tblCellSpacing w:w="0" w:type="dxa"/>
              </w:trPr>
              <w:tc>
                <w:tcPr>
                  <w:tcW w:w="10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CF6" w:rsidRPr="008A1B04" w:rsidRDefault="001E2BAE" w:rsidP="00DB139A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См. Вариант 1 </w:t>
                  </w:r>
                  <w:r w:rsidR="007E264A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для 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акций российских эмитентов</w:t>
                  </w:r>
                  <w:r w:rsidR="00FE6CF6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(модель </w:t>
                  </w:r>
                  <w:r w:rsidR="00FE6CF6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CAPM</w:t>
                  </w:r>
                  <w:r w:rsidR="00E872E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="008E7467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с учетом следующих особенностей.</w:t>
                  </w:r>
                  <w:bookmarkStart w:id="1" w:name="_GoBack"/>
                  <w:bookmarkEnd w:id="1"/>
                </w:p>
                <w:p w:rsidR="00FE6CF6" w:rsidRPr="008A1B04" w:rsidRDefault="00FE6CF6" w:rsidP="00DB139A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В качестве рыночного индикатора (бенчмарка) акций иностранных эмитентов используется индекс биржи, на которой определена</w:t>
                  </w:r>
                  <w:r w:rsidR="00D664B2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справедливая цена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уровня 1 иерархии справедливой стоимости на дату, предшествующей дате возникновения оснований для применения модели CAPМ</w:t>
                  </w:r>
                  <w:r w:rsidR="00123620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77EE0" w:rsidRPr="008A1B04" w:rsidRDefault="00E872EE" w:rsidP="00F77EE0">
                  <w:pPr>
                    <w:spacing w:after="0"/>
                    <w:ind w:firstLine="708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Для акций иностранных эмитентов в качестве безрисковой ставки доходности применяется ставка Libor1Y.</w:t>
                  </w:r>
                </w:p>
                <w:p w:rsidR="00EB6F09" w:rsidRPr="008A1B04" w:rsidRDefault="00F77EE0">
                  <w:pPr>
                    <w:spacing w:after="0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При использовании модели CAPM в целях расчета Бета коэффициента:</w:t>
                  </w:r>
                </w:p>
                <w:p w:rsidR="00F77EE0" w:rsidRPr="008A1B04" w:rsidRDefault="00F77EE0" w:rsidP="00F77EE0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для акций иностранных эмитентов применяются значения </w:t>
                  </w:r>
                  <w:r w:rsidR="00123620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ц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ены закрытия биржи, на которой определена надлежащая котировка уровня 1 иерархии справедливой стоимости на дату, предшествующей дате возникновения оснований для применения модели CAPМ.</w:t>
                  </w:r>
                </w:p>
                <w:p w:rsidR="001E2BAE" w:rsidRPr="008A1B04" w:rsidRDefault="00FE6CF6" w:rsidP="00DB139A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449580</wp:posOffset>
                        </wp:positionH>
                        <wp:positionV relativeFrom="paragraph">
                          <wp:posOffset>760095</wp:posOffset>
                        </wp:positionV>
                        <wp:extent cx="4878705" cy="482600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8705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  <w:t>При отсутствии объема торгов на дату определения СЧА для определения справедливой стоимости акций</w:t>
                  </w:r>
                  <w:r w:rsidR="00FD69F4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и </w:t>
                  </w:r>
                  <w:r w:rsidR="008F45A0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депозитарных расписок</w:t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, обращающихся на иностранных фондовых биржах, может применяться</w:t>
                  </w:r>
                  <w:r w:rsidR="00FD69F4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усредненное за последние десять торговых дней среднее значение двусторонней котировки, рассчитанное по </w:t>
                  </w:r>
                  <w:r w:rsidR="00962063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следующей </w:t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формуле:</w:t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1E2BAE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  <w:t xml:space="preserve"> где n – дата определения СЧА, </w:t>
                  </w:r>
                </w:p>
                <w:p w:rsidR="001E2BAE" w:rsidRPr="008A1B04" w:rsidRDefault="001E2BAE" w:rsidP="00DB139A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PX_MID   – среднее значение между ценой спроса PX_BID  и предложения PX_ASK за последние 10 торговых дней, PX_BID  - наибольшая цена спроса, опубликованная информационным ресурсом Bloomberg,</w:t>
                  </w:r>
                </w:p>
                <w:p w:rsidR="001E2BAE" w:rsidRPr="008A1B04" w:rsidRDefault="001E2BAE" w:rsidP="00DB139A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PX_ASK – наименьшая цена предложения, опубликованная информационным ресурсом Bloomberg. 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</w:p>
                <w:p w:rsidR="001E2BAE" w:rsidRPr="008A1B04" w:rsidRDefault="001E2BAE" w:rsidP="00E121F1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Данна</w:t>
                  </w:r>
                  <w:r w:rsidR="009E7ABB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я цена считается корректной 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при соблюдении одновременно следующих условий: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  <w:t>- в течение 10 предшествующих торговых дней непрерывно наблюдались двусторонние котировки, внутридневное количество которых не менее 10</w:t>
                  </w:r>
                  <w:r w:rsidR="009E7ABB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455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(как пример, 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BLM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</w:rPr>
                    <w:t xml:space="preserve"> функция 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QRM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trade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recap</w:t>
                  </w:r>
                  <w:r w:rsidR="00B34455" w:rsidRPr="008A1B04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br/>
                    <w:t xml:space="preserve"> - спр</w:t>
                  </w:r>
                  <w:r w:rsidR="00E121F1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д между двусторонними котировками на дату определения СЧА составляет менее 20%, то есть отсутствует необходимость корректировать стоимость инструмента на рыночный риск, связанный с закрытием позиции (liquidity cost), поскольку Bid/ask спр</w:t>
                  </w:r>
                  <w:r w:rsidR="00E121F1"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8A1B0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д обратно соотносится с ликвидностью и является оценкой транзакционных издержек.</w:t>
                  </w:r>
                </w:p>
              </w:tc>
            </w:tr>
          </w:tbl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E2BAE" w:rsidRPr="008A1B04" w:rsidTr="0057549D">
        <w:trPr>
          <w:trHeight w:val="127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3 уровень </w:t>
            </w:r>
          </w:p>
        </w:tc>
        <w:tc>
          <w:tcPr>
            <w:tcW w:w="10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49D" w:rsidRPr="008A1B04" w:rsidRDefault="0057549D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E2BAE" w:rsidRPr="008A1B04" w:rsidRDefault="00DB139A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ценка, на основании отчета оце</w:t>
            </w:r>
            <w:r w:rsidR="007E264A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ранее </w:t>
            </w:r>
            <w:r w:rsidR="001E2BAE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 месяцев до даты определения СЧА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оценка, на основании отчета оценщика,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даты определения СЧА</w:t>
            </w:r>
          </w:p>
        </w:tc>
      </w:tr>
      <w:tr w:rsidR="001E2BAE" w:rsidRPr="008A1B04" w:rsidTr="0057549D">
        <w:trPr>
          <w:trHeight w:val="1095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• Облигация внешних облигационных займов Российской Федерации;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• Долговая ценная бумага иностранных государств;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• Еврооблигация иностранного эмитента, долговая ценная бумага иностранного государства;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Ценная бумага международной финансовой организации.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 уровень</w:t>
            </w:r>
          </w:p>
        </w:tc>
        <w:tc>
          <w:tcPr>
            <w:tcW w:w="10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BAE" w:rsidRPr="008A1B04" w:rsidRDefault="001E2BAE" w:rsidP="0055784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отсутствует </w:t>
            </w:r>
          </w:p>
        </w:tc>
      </w:tr>
      <w:tr w:rsidR="001E2BAE" w:rsidRPr="008A1B04" w:rsidTr="0057549D">
        <w:trPr>
          <w:trHeight w:val="1440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 уровень </w:t>
            </w:r>
          </w:p>
        </w:tc>
        <w:tc>
          <w:tcPr>
            <w:tcW w:w="10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В порядке убывания приоритета: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1) Цена BGN (Last Price), раскрываемая информационной системой "Блумберг" (Bloomberg) на дату определения СЧА;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2) Цена BVAL (Mid BVAL), раскрываемая информационной системой "Блумберг" (Bloomberg) на дату определения СЧА</w:t>
            </w:r>
            <w:r w:rsidR="00EA6216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="00437E4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144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144F" w:rsidRPr="008A1B04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Score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равен</w:t>
            </w:r>
            <w:r w:rsidR="00C6144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и выше</w:t>
            </w:r>
          </w:p>
          <w:p w:rsidR="009F6FD6" w:rsidRPr="008A1B04" w:rsidRDefault="009F6FD6" w:rsidP="00DB13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FF0000"/>
                <w:sz w:val="20"/>
                <w:szCs w:val="20"/>
              </w:rPr>
              <w:t>3)</w:t>
            </w:r>
            <w:r w:rsidRPr="008A1B04">
              <w:rPr>
                <w:color w:val="FF0000"/>
                <w:sz w:val="20"/>
                <w:szCs w:val="20"/>
              </w:rPr>
              <w:t xml:space="preserve"> НРД по Методике ОСЦ НРД</w:t>
            </w:r>
          </w:p>
          <w:p w:rsidR="00EE6B2E" w:rsidRPr="008A1B04" w:rsidRDefault="00EE6B2E" w:rsidP="00DB139A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8A1B04">
              <w:rPr>
                <w:color w:val="FF0000"/>
                <w:sz w:val="20"/>
                <w:szCs w:val="20"/>
              </w:rPr>
              <w:t xml:space="preserve">4)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Thompson Reuters 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Refinitiv</w:t>
            </w:r>
            <w:r w:rsidR="004F640C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E2BAE" w:rsidRPr="008A1B04" w:rsidRDefault="00C93544" w:rsidP="00DB1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Правилами определения СЧА может быть предусмотрен иной порядок определения справедливой стоимости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отсутствует </w:t>
            </w:r>
          </w:p>
        </w:tc>
      </w:tr>
      <w:tr w:rsidR="001E2BAE" w:rsidRPr="008A1B04" w:rsidTr="0057549D">
        <w:trPr>
          <w:trHeight w:val="1686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3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Оценка, на основании отчета оце</w:t>
            </w:r>
            <w:r w:rsidR="007E264A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ранее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 месяцев до даты определения СЧА</w:t>
            </w:r>
            <w:r w:rsidR="00C8443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30C33" w:rsidRPr="008A1B04" w:rsidRDefault="00AF5BDD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Приложение 4 Модель 2 Уровень 3 (если применимо)</w:t>
            </w:r>
          </w:p>
          <w:p w:rsidR="00CF37C8" w:rsidRPr="008A1B04" w:rsidRDefault="00CF37C8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Оценка, на основании отчета оценщика,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даты определения СЧА</w:t>
            </w:r>
          </w:p>
        </w:tc>
      </w:tr>
      <w:tr w:rsidR="001E2BAE" w:rsidRPr="008A1B04" w:rsidTr="0057549D">
        <w:trPr>
          <w:trHeight w:val="615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Инвестиционные паи российских паевых инвестиционных фондов, ипотечные сертификаты участия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1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Приоритет цен</w:t>
            </w:r>
            <w:r w:rsidR="007E264A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аналогичный торгуемым российским ценным бумагам (см. п. 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E2BAE" w:rsidRPr="008A1B04" w:rsidTr="0057549D">
        <w:trPr>
          <w:trHeight w:val="2085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расчетная стоимость, раскрытая / предоставленная управляющей компанией ПИФ/ ипотечного покрытия, в сроки, предусмотренные нормативными актами Банка России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расчетная стоимость, раскрытая / предоставленная управляющей компанией ПИФ/ ипотечного покрытия                       </w:t>
            </w:r>
          </w:p>
        </w:tc>
      </w:tr>
      <w:tr w:rsidR="001E2BAE" w:rsidRPr="008A1B04" w:rsidTr="0057549D">
        <w:trPr>
          <w:trHeight w:val="1290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3 уровень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оценка, на основании отчета оце</w:t>
            </w:r>
            <w:r w:rsidR="00075B47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даты определения СЧА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оценка, на основании отчета оце</w:t>
            </w:r>
            <w:r w:rsidR="00B53E7F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щика, составленного не 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ранее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6 месяцев до даты определения СЧА</w:t>
            </w:r>
          </w:p>
        </w:tc>
      </w:tr>
      <w:tr w:rsidR="001E2BAE" w:rsidRPr="008A1B04" w:rsidTr="0057549D">
        <w:trPr>
          <w:trHeight w:val="2642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Производные финансовые инструменты, СВОП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437E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C5B" w:rsidRPr="008A1B04" w:rsidRDefault="00FE5213" w:rsidP="00437E4F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Устанавливается </w:t>
            </w:r>
            <w:r w:rsidR="00D33EE6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Правилами определения СЧА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2BAE" w:rsidRPr="008A1B04" w:rsidTr="0057549D">
        <w:trPr>
          <w:trHeight w:val="189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Ценная бумага является дополнительным выпуском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5754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 на дату определения СЧА в соответствии с моделям оценки стоимости ценных бумаг, для которых  определен активный рынок.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Справедливая стоимость определяется согласно этому порядку до возникновения справедливой стоимости ценной бумаги дополнительн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выпуск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5715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Ценная бумага, полученная в результате конвертации в нее другой ценной бумаги (исходной ценной бумаги)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оценки ценной бумаги, используется цена исходной ценной бумаги, определенная на дату определения СЧА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Если невозможно определить в соответствии с моделями оценки стоимости ценных бумаг, для которых  определен активный рынок</w:t>
            </w:r>
            <w:r w:rsidR="0057549D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  Справедливая стоимость определяется согласно этому порядку на дату оценки. Со следующей даты </w:t>
            </w:r>
            <w:r w:rsidR="00B3445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справедливая стоимость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определяется в общем порядке.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 с большей (меньшей) номинальной стоимостью, признанных  в результате конвертации в них исходных акций, является оценочная стоимость конвертированных в них акций.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акций, признанных в результате конвертации в них исходных акций при реорганизации в форме слияния, является оценочная стоимость конвертированных ценных бумаг, умноженная на коэффициент конвертации.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них исходных акций, является  оценочная стоимость конвертированных акций, деленная на коэффициент конвертации. В случае,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• 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• 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облигаций.     Для определения справедливой стоимости может также использоваться отчет оценщика.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1E2BAE" w:rsidRPr="008A1B04" w:rsidTr="0057549D">
        <w:trPr>
          <w:trHeight w:val="1395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2362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Ценная бумага, приобретенная </w:t>
            </w:r>
            <w:r w:rsidR="00123620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размещении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034F3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Цена размещения. С даты появления цен, позволяющих произвести оценку по данным активного основного рынка,  справедливая стоимость определяется в общем порядке. </w:t>
            </w:r>
            <w:r w:rsidRPr="008A1B04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При отсутствии указанных цен в течение 10 рабочих дней с даты размещения может применяться цена размещения, скорректированная пропорционально на изменение ключевой ставки Банка России за этот период. </w:t>
            </w:r>
            <w:r w:rsidRPr="008A1B04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8A1B04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Начиная с 11 дня справедливая стоимость определяется в общем порядке.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11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Депозитарная расписка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AE" w:rsidRPr="008A1B04" w:rsidRDefault="001E2BAE" w:rsidP="00DB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Котировка депозитарной расписки, если она торгуется на организованных торгах с выбором цены, аналогичным представленным по </w:t>
            </w:r>
            <w:r w:rsidR="00B862F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ценным бумагам иностранных эмитентов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В случае отсутствия</w:t>
            </w:r>
            <w:r w:rsidR="00B862F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цены первого уровня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используется цена представляемой ценной бумаги (</w:t>
            </w:r>
            <w:r w:rsidR="00181D63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базового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актива), определенная в соответствии с моделями оценки стоимости ценных бумаг, для которых определяется активный рынок</w:t>
            </w:r>
            <w:r w:rsidR="00B862F5"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в зависимости от эмитента бумаги (российский/иностранный)</w:t>
            </w: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765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Дополнительные модели оценки ценных бумаг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 всех уровнях </w:t>
            </w:r>
          </w:p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AE" w:rsidRPr="008A1B04" w:rsidRDefault="001E2BAE" w:rsidP="009A25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Альтернативный вариант определения справедливой стоимости приведен в Приложени</w:t>
            </w:r>
            <w:r w:rsidR="00437E4F"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ях к настоящим Стандартам</w:t>
            </w:r>
            <w:r w:rsidRPr="008A1B0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2BAE" w:rsidRPr="008A1B04" w:rsidTr="0057549D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8A1B04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2BAE" w:rsidRPr="00437E4F" w:rsidTr="0057549D">
        <w:trPr>
          <w:trHeight w:val="255"/>
        </w:trPr>
        <w:tc>
          <w:tcPr>
            <w:tcW w:w="1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C6144F" w:rsidRDefault="001E2BAE" w:rsidP="001E2BAE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8A1B04">
              <w:rPr>
                <w:rFonts w:eastAsia="Times New Roman" w:cs="Times New Roman"/>
                <w:color w:val="FF0000"/>
                <w:sz w:val="20"/>
                <w:szCs w:val="20"/>
              </w:rPr>
              <w:t>Для всех инструментов Правилами определения СЧА может быть предусмотрен иной порядок определения справедливой стоимости, в случае его согласования со специализированным депозитарием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437E4F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2BAE" w:rsidRPr="00437E4F" w:rsidTr="0057549D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C6144F" w:rsidRDefault="001E2BAE" w:rsidP="001E2BAE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C6144F" w:rsidRDefault="001E2BAE" w:rsidP="001E2BA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C6144F" w:rsidRDefault="001E2BAE" w:rsidP="001E2BAE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E" w:rsidRPr="00437E4F" w:rsidRDefault="001E2BAE" w:rsidP="001E2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566C" w:rsidRDefault="0096566C"/>
    <w:sectPr w:rsidR="0096566C" w:rsidSect="001E2BA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FAA8F" w15:done="0"/>
  <w15:commentEx w15:paraId="4C799694" w15:done="0"/>
  <w15:commentEx w15:paraId="2D667CE3" w15:done="0"/>
  <w15:commentEx w15:paraId="436FA000" w15:paraIdParent="2D667CE3" w15:done="0"/>
  <w15:commentEx w15:paraId="21EE31E9" w15:done="0"/>
  <w15:commentEx w15:paraId="695C686B" w15:done="0"/>
  <w15:commentEx w15:paraId="191EC337" w15:paraIdParent="695C686B" w15:done="0"/>
  <w15:commentEx w15:paraId="0585F567" w15:done="0"/>
  <w15:commentEx w15:paraId="2ABDC8E4" w15:paraIdParent="0585F567" w15:done="0"/>
  <w15:commentEx w15:paraId="1D6E9F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0C" w:rsidRDefault="00F3270C" w:rsidP="003C6C50">
      <w:pPr>
        <w:spacing w:after="0" w:line="240" w:lineRule="auto"/>
      </w:pPr>
      <w:r>
        <w:separator/>
      </w:r>
    </w:p>
  </w:endnote>
  <w:endnote w:type="continuationSeparator" w:id="0">
    <w:p w:rsidR="00F3270C" w:rsidRDefault="00F3270C" w:rsidP="003C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0C" w:rsidRDefault="00F3270C" w:rsidP="003C6C50">
      <w:pPr>
        <w:spacing w:after="0" w:line="240" w:lineRule="auto"/>
      </w:pPr>
      <w:r>
        <w:separator/>
      </w:r>
    </w:p>
  </w:footnote>
  <w:footnote w:type="continuationSeparator" w:id="0">
    <w:p w:rsidR="00F3270C" w:rsidRDefault="00F3270C" w:rsidP="003C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50" w:rsidRDefault="003C6C50" w:rsidP="003C6C50">
    <w:pPr>
      <w:tabs>
        <w:tab w:val="left" w:pos="3069"/>
      </w:tabs>
      <w:spacing w:after="0" w:line="240" w:lineRule="auto"/>
      <w:jc w:val="right"/>
      <w:rPr>
        <w:rFonts w:eastAsia="Calibri"/>
        <w:szCs w:val="24"/>
      </w:rPr>
    </w:pPr>
    <w:r>
      <w:rPr>
        <w:rFonts w:eastAsia="Calibri"/>
        <w:szCs w:val="24"/>
      </w:rPr>
      <w:t>Приложение №1</w:t>
    </w:r>
  </w:p>
  <w:p w:rsidR="003C6C50" w:rsidRDefault="003C6C50" w:rsidP="003C6C50">
    <w:pPr>
      <w:tabs>
        <w:tab w:val="left" w:pos="3069"/>
      </w:tabs>
      <w:spacing w:after="0" w:line="240" w:lineRule="auto"/>
      <w:jc w:val="right"/>
      <w:rPr>
        <w:rFonts w:eastAsia="Calibri"/>
        <w:szCs w:val="24"/>
      </w:rPr>
    </w:pPr>
    <w:r>
      <w:rPr>
        <w:rFonts w:eastAsia="Calibri"/>
        <w:szCs w:val="24"/>
      </w:rPr>
      <w:t>к Стандарт</w:t>
    </w:r>
    <w:r w:rsidR="004B66A3">
      <w:rPr>
        <w:rFonts w:eastAsia="Calibri"/>
        <w:szCs w:val="24"/>
      </w:rPr>
      <w:t>у</w:t>
    </w:r>
    <w:r>
      <w:rPr>
        <w:rFonts w:eastAsia="Calibri"/>
        <w:szCs w:val="24"/>
      </w:rPr>
      <w:t xml:space="preserve"> НАУФОР </w:t>
    </w:r>
  </w:p>
  <w:p w:rsidR="003C6C50" w:rsidRDefault="003C6C50" w:rsidP="003C6C50">
    <w:pPr>
      <w:tabs>
        <w:tab w:val="left" w:pos="3069"/>
      </w:tabs>
      <w:spacing w:after="0" w:line="240" w:lineRule="auto"/>
      <w:jc w:val="right"/>
      <w:rPr>
        <w:rFonts w:eastAsia="Calibri"/>
        <w:szCs w:val="24"/>
      </w:rPr>
    </w:pPr>
    <w:r>
      <w:rPr>
        <w:rFonts w:eastAsia="Calibri"/>
        <w:szCs w:val="24"/>
      </w:rPr>
      <w:t xml:space="preserve">определения стоимости чистых активов </w:t>
    </w:r>
  </w:p>
  <w:p w:rsidR="003C6C50" w:rsidRDefault="003C6C50" w:rsidP="003C6C50">
    <w:pPr>
      <w:tabs>
        <w:tab w:val="left" w:pos="3069"/>
      </w:tabs>
      <w:spacing w:after="0" w:line="240" w:lineRule="auto"/>
      <w:jc w:val="right"/>
      <w:rPr>
        <w:rFonts w:eastAsia="Calibri"/>
        <w:szCs w:val="24"/>
      </w:rPr>
    </w:pPr>
    <w:r>
      <w:rPr>
        <w:rFonts w:eastAsia="Calibri"/>
        <w:szCs w:val="24"/>
      </w:rPr>
      <w:t>паевого инвестиционного фонда</w:t>
    </w:r>
  </w:p>
  <w:p w:rsidR="003C6C50" w:rsidRDefault="003C6C50" w:rsidP="003C6C50">
    <w:pPr>
      <w:tabs>
        <w:tab w:val="left" w:pos="3069"/>
      </w:tabs>
      <w:spacing w:after="0" w:line="240" w:lineRule="auto"/>
      <w:jc w:val="right"/>
      <w:rPr>
        <w:rFonts w:eastAsia="Calibri"/>
        <w:szCs w:val="24"/>
      </w:rPr>
    </w:pPr>
    <w:r>
      <w:rPr>
        <w:rFonts w:eastAsia="Calibri"/>
        <w:szCs w:val="24"/>
      </w:rPr>
      <w:t xml:space="preserve"> и стоимости инвестиционного пая</w:t>
    </w:r>
  </w:p>
  <w:p w:rsidR="003C6C50" w:rsidRDefault="003C6C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059"/>
    <w:multiLevelType w:val="hybridMultilevel"/>
    <w:tmpl w:val="B20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DD2"/>
    <w:multiLevelType w:val="multilevel"/>
    <w:tmpl w:val="6838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473A97"/>
    <w:multiLevelType w:val="hybridMultilevel"/>
    <w:tmpl w:val="FD6C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040D"/>
    <w:multiLevelType w:val="hybridMultilevel"/>
    <w:tmpl w:val="B238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стова Вера">
    <w15:presenceInfo w15:providerId="AD" w15:userId="S-1-5-21-786722839-2810560312-2866669444-2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BAE"/>
    <w:rsid w:val="00012264"/>
    <w:rsid w:val="0001571F"/>
    <w:rsid w:val="00032C4B"/>
    <w:rsid w:val="00075B47"/>
    <w:rsid w:val="0009433C"/>
    <w:rsid w:val="000A7F3A"/>
    <w:rsid w:val="00102412"/>
    <w:rsid w:val="001034F3"/>
    <w:rsid w:val="00123620"/>
    <w:rsid w:val="001271DD"/>
    <w:rsid w:val="00133B60"/>
    <w:rsid w:val="00135ADF"/>
    <w:rsid w:val="00153F26"/>
    <w:rsid w:val="001652FF"/>
    <w:rsid w:val="00181D63"/>
    <w:rsid w:val="00186EBC"/>
    <w:rsid w:val="001C5716"/>
    <w:rsid w:val="001D4545"/>
    <w:rsid w:val="001E0056"/>
    <w:rsid w:val="001E2BAE"/>
    <w:rsid w:val="001F3707"/>
    <w:rsid w:val="001F7EA1"/>
    <w:rsid w:val="00201E84"/>
    <w:rsid w:val="0023546D"/>
    <w:rsid w:val="0024565E"/>
    <w:rsid w:val="002872A9"/>
    <w:rsid w:val="002D6D8E"/>
    <w:rsid w:val="00336594"/>
    <w:rsid w:val="0039665C"/>
    <w:rsid w:val="003A51B0"/>
    <w:rsid w:val="003C6C50"/>
    <w:rsid w:val="00430C33"/>
    <w:rsid w:val="00437E4F"/>
    <w:rsid w:val="004403DE"/>
    <w:rsid w:val="00462869"/>
    <w:rsid w:val="00470770"/>
    <w:rsid w:val="00471CEC"/>
    <w:rsid w:val="004738A6"/>
    <w:rsid w:val="004773BB"/>
    <w:rsid w:val="004B66A3"/>
    <w:rsid w:val="004C46A3"/>
    <w:rsid w:val="004F640C"/>
    <w:rsid w:val="00535415"/>
    <w:rsid w:val="0055784D"/>
    <w:rsid w:val="0057549D"/>
    <w:rsid w:val="005D7463"/>
    <w:rsid w:val="005F7B69"/>
    <w:rsid w:val="006257D4"/>
    <w:rsid w:val="00635757"/>
    <w:rsid w:val="00654E31"/>
    <w:rsid w:val="00672AB0"/>
    <w:rsid w:val="00676E39"/>
    <w:rsid w:val="006B2C78"/>
    <w:rsid w:val="006E4DBF"/>
    <w:rsid w:val="00710F91"/>
    <w:rsid w:val="0075504E"/>
    <w:rsid w:val="007D7936"/>
    <w:rsid w:val="007E264A"/>
    <w:rsid w:val="0080145F"/>
    <w:rsid w:val="00826719"/>
    <w:rsid w:val="008555E1"/>
    <w:rsid w:val="00883F75"/>
    <w:rsid w:val="008A1B04"/>
    <w:rsid w:val="008E7467"/>
    <w:rsid w:val="008F45A0"/>
    <w:rsid w:val="009077CD"/>
    <w:rsid w:val="00935084"/>
    <w:rsid w:val="009544DB"/>
    <w:rsid w:val="00961D96"/>
    <w:rsid w:val="00962063"/>
    <w:rsid w:val="0096566C"/>
    <w:rsid w:val="009A25CE"/>
    <w:rsid w:val="009B516F"/>
    <w:rsid w:val="009D67F0"/>
    <w:rsid w:val="009E5A89"/>
    <w:rsid w:val="009E69F1"/>
    <w:rsid w:val="009E7ABB"/>
    <w:rsid w:val="009F250E"/>
    <w:rsid w:val="009F6FD6"/>
    <w:rsid w:val="00A241F8"/>
    <w:rsid w:val="00A36A5A"/>
    <w:rsid w:val="00A62219"/>
    <w:rsid w:val="00A70281"/>
    <w:rsid w:val="00A923F6"/>
    <w:rsid w:val="00A931EE"/>
    <w:rsid w:val="00A97C2A"/>
    <w:rsid w:val="00AF379E"/>
    <w:rsid w:val="00AF5BDD"/>
    <w:rsid w:val="00B047EE"/>
    <w:rsid w:val="00B34455"/>
    <w:rsid w:val="00B52F77"/>
    <w:rsid w:val="00B53E7F"/>
    <w:rsid w:val="00B546C4"/>
    <w:rsid w:val="00B777CF"/>
    <w:rsid w:val="00B862F5"/>
    <w:rsid w:val="00BA2DD9"/>
    <w:rsid w:val="00BB7FA4"/>
    <w:rsid w:val="00BC4075"/>
    <w:rsid w:val="00BD2E4C"/>
    <w:rsid w:val="00C40F52"/>
    <w:rsid w:val="00C6144F"/>
    <w:rsid w:val="00C741B9"/>
    <w:rsid w:val="00C8443F"/>
    <w:rsid w:val="00C93544"/>
    <w:rsid w:val="00CB1A48"/>
    <w:rsid w:val="00CF37C8"/>
    <w:rsid w:val="00D33EE6"/>
    <w:rsid w:val="00D437A0"/>
    <w:rsid w:val="00D45805"/>
    <w:rsid w:val="00D53DC6"/>
    <w:rsid w:val="00D563B3"/>
    <w:rsid w:val="00D664B2"/>
    <w:rsid w:val="00DB139A"/>
    <w:rsid w:val="00DD26AE"/>
    <w:rsid w:val="00DF4BFF"/>
    <w:rsid w:val="00E065AE"/>
    <w:rsid w:val="00E0758B"/>
    <w:rsid w:val="00E121F1"/>
    <w:rsid w:val="00E41029"/>
    <w:rsid w:val="00E632F4"/>
    <w:rsid w:val="00E872EE"/>
    <w:rsid w:val="00EA6216"/>
    <w:rsid w:val="00EA702F"/>
    <w:rsid w:val="00EB6F09"/>
    <w:rsid w:val="00EC5AAA"/>
    <w:rsid w:val="00EE614B"/>
    <w:rsid w:val="00EE6B2E"/>
    <w:rsid w:val="00F3270C"/>
    <w:rsid w:val="00F60D75"/>
    <w:rsid w:val="00F76E58"/>
    <w:rsid w:val="00F77EE0"/>
    <w:rsid w:val="00FD69F4"/>
    <w:rsid w:val="00FD74D5"/>
    <w:rsid w:val="00FE1C5B"/>
    <w:rsid w:val="00FE4323"/>
    <w:rsid w:val="00FE5213"/>
    <w:rsid w:val="00FE6CF6"/>
    <w:rsid w:val="00FE6E87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51B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A51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A51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51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51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B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065AE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6C50"/>
  </w:style>
  <w:style w:type="paragraph" w:styleId="ae">
    <w:name w:val="footer"/>
    <w:basedOn w:val="a"/>
    <w:link w:val="af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6C50"/>
  </w:style>
  <w:style w:type="character" w:styleId="af0">
    <w:name w:val="Hyperlink"/>
    <w:basedOn w:val="a0"/>
    <w:uiPriority w:val="99"/>
    <w:unhideWhenUsed/>
    <w:rsid w:val="001C5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51B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A51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A51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51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51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B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065AE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6C50"/>
  </w:style>
  <w:style w:type="paragraph" w:styleId="ae">
    <w:name w:val="footer"/>
    <w:basedOn w:val="a"/>
    <w:link w:val="af"/>
    <w:uiPriority w:val="99"/>
    <w:semiHidden/>
    <w:unhideWhenUsed/>
    <w:rsid w:val="003C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6C50"/>
  </w:style>
  <w:style w:type="character" w:styleId="af0">
    <w:name w:val="Hyperlink"/>
    <w:basedOn w:val="a0"/>
    <w:uiPriority w:val="99"/>
    <w:unhideWhenUsed/>
    <w:rsid w:val="001C5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18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0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274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F9F4-058C-4C53-A856-6B8D1FE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gantseva</dc:creator>
  <cp:lastModifiedBy>gantseva</cp:lastModifiedBy>
  <cp:revision>2</cp:revision>
  <dcterms:created xsi:type="dcterms:W3CDTF">2018-12-14T10:24:00Z</dcterms:created>
  <dcterms:modified xsi:type="dcterms:W3CDTF">2018-12-14T10:24:00Z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